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15CDF" w14:textId="77777777" w:rsidR="003A262B" w:rsidRDefault="003A262B" w:rsidP="003A262B">
      <w:pPr>
        <w:pStyle w:val="SubHeader"/>
        <w:rPr>
          <w:rFonts w:ascii="Verdana" w:hAnsi="Verdana"/>
          <w:b/>
          <w:bCs/>
          <w:color w:val="000000" w:themeColor="text1"/>
          <w:sz w:val="36"/>
          <w:szCs w:val="52"/>
        </w:rPr>
      </w:pPr>
      <w:r w:rsidRPr="003A262B">
        <w:rPr>
          <w:rFonts w:ascii="Verdana" w:hAnsi="Verdana"/>
          <w:b/>
          <w:bCs/>
          <w:color w:val="000000" w:themeColor="text1"/>
          <w:sz w:val="36"/>
          <w:szCs w:val="52"/>
        </w:rPr>
        <w:t>Skills and Education Group</w:t>
      </w:r>
    </w:p>
    <w:p w14:paraId="729C8444" w14:textId="77777777" w:rsidR="00842033" w:rsidRDefault="00842033" w:rsidP="003A262B">
      <w:pPr>
        <w:pStyle w:val="SubHeader"/>
        <w:rPr>
          <w:b/>
          <w:bCs/>
        </w:rPr>
      </w:pPr>
    </w:p>
    <w:p w14:paraId="0824CCBA" w14:textId="5F12E308" w:rsidR="003A262B" w:rsidRPr="00842033" w:rsidRDefault="003A262B" w:rsidP="003A262B">
      <w:pPr>
        <w:pStyle w:val="SubHeader"/>
        <w:rPr>
          <w:b/>
          <w:bCs/>
        </w:rPr>
      </w:pPr>
      <w:r w:rsidRPr="00842033">
        <w:rPr>
          <w:b/>
          <w:bCs/>
        </w:rPr>
        <w:t>Invoicing Policy</w:t>
      </w:r>
    </w:p>
    <w:p w14:paraId="17895480" w14:textId="77777777" w:rsidR="003A262B" w:rsidRPr="003A262B" w:rsidRDefault="003A262B" w:rsidP="003A262B">
      <w:pPr>
        <w:pStyle w:val="SubHeader"/>
      </w:pPr>
    </w:p>
    <w:p w14:paraId="06CEBCD6" w14:textId="77777777" w:rsidR="003A262B" w:rsidRDefault="003A262B" w:rsidP="003A262B">
      <w:r w:rsidRPr="003A262B">
        <w:rPr>
          <w:b/>
          <w:bCs/>
        </w:rPr>
        <w:t>Effective Date:</w:t>
      </w:r>
      <w:r w:rsidRPr="003A262B">
        <w:t xml:space="preserve"> 1st September 2025</w:t>
      </w:r>
    </w:p>
    <w:p w14:paraId="3BDB8FCB" w14:textId="77777777" w:rsidR="003A262B" w:rsidRPr="003A262B" w:rsidRDefault="003A262B" w:rsidP="003A262B"/>
    <w:p w14:paraId="442F193C" w14:textId="1769CA2A" w:rsidR="003A262B" w:rsidRDefault="003A262B" w:rsidP="003A262B">
      <w:pPr>
        <w:pBdr>
          <w:bottom w:val="single" w:sz="6" w:space="1" w:color="auto"/>
        </w:pBdr>
      </w:pPr>
      <w:r w:rsidRPr="003A262B">
        <w:rPr>
          <w:b/>
          <w:bCs/>
        </w:rPr>
        <w:t>Applies To:</w:t>
      </w:r>
      <w:r>
        <w:rPr>
          <w:b/>
          <w:bCs/>
        </w:rPr>
        <w:t xml:space="preserve"> </w:t>
      </w:r>
      <w:r w:rsidRPr="003A262B">
        <w:t>All departments and staff involved in the issuing, processing, approval, and management of invoices for the provision of qualifications and related services</w:t>
      </w:r>
      <w:r w:rsidR="00216CD7">
        <w:t>.</w:t>
      </w:r>
    </w:p>
    <w:p w14:paraId="37AE052F" w14:textId="77777777" w:rsidR="003A262B" w:rsidRDefault="003A262B" w:rsidP="003A262B">
      <w:pPr>
        <w:pBdr>
          <w:bottom w:val="single" w:sz="6" w:space="1" w:color="auto"/>
        </w:pBdr>
      </w:pPr>
    </w:p>
    <w:p w14:paraId="5DE7F52D" w14:textId="2A09AFD9" w:rsidR="003A262B" w:rsidRPr="003A262B" w:rsidRDefault="003A262B" w:rsidP="003A262B"/>
    <w:p w14:paraId="26B5AC25" w14:textId="77777777" w:rsidR="003A262B" w:rsidRDefault="003A262B" w:rsidP="003A262B">
      <w:pPr>
        <w:rPr>
          <w:b/>
          <w:bCs/>
        </w:rPr>
      </w:pPr>
      <w:r w:rsidRPr="003A262B">
        <w:rPr>
          <w:b/>
          <w:bCs/>
        </w:rPr>
        <w:t>Invoice and Payment Information</w:t>
      </w:r>
    </w:p>
    <w:p w14:paraId="2BC3A829" w14:textId="77777777" w:rsidR="003A262B" w:rsidRPr="003A262B" w:rsidRDefault="003A262B" w:rsidP="003A262B">
      <w:pPr>
        <w:rPr>
          <w:b/>
          <w:bCs/>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54"/>
        <w:gridCol w:w="4506"/>
      </w:tblGrid>
      <w:tr w:rsidR="003A262B" w:rsidRPr="003A262B" w14:paraId="3C61FCD7" w14:textId="77777777" w:rsidTr="003A262B">
        <w:trPr>
          <w:tblHeader/>
          <w:tblCellSpacing w:w="15" w:type="dxa"/>
        </w:trPr>
        <w:tc>
          <w:tcPr>
            <w:tcW w:w="0" w:type="auto"/>
            <w:vAlign w:val="center"/>
            <w:hideMark/>
          </w:tcPr>
          <w:p w14:paraId="2299D764" w14:textId="77777777" w:rsidR="003A262B" w:rsidRPr="003A262B" w:rsidRDefault="003A262B" w:rsidP="003A262B">
            <w:pPr>
              <w:rPr>
                <w:b/>
                <w:bCs/>
              </w:rPr>
            </w:pPr>
            <w:r w:rsidRPr="003A262B">
              <w:rPr>
                <w:b/>
                <w:bCs/>
              </w:rPr>
              <w:t>Invoice Process Area</w:t>
            </w:r>
          </w:p>
        </w:tc>
        <w:tc>
          <w:tcPr>
            <w:tcW w:w="0" w:type="auto"/>
            <w:vAlign w:val="center"/>
            <w:hideMark/>
          </w:tcPr>
          <w:p w14:paraId="02E8E9E7" w14:textId="77777777" w:rsidR="003A262B" w:rsidRPr="003A262B" w:rsidRDefault="003A262B" w:rsidP="003A262B">
            <w:pPr>
              <w:rPr>
                <w:b/>
                <w:bCs/>
              </w:rPr>
            </w:pPr>
            <w:r w:rsidRPr="003A262B">
              <w:rPr>
                <w:b/>
                <w:bCs/>
              </w:rPr>
              <w:t>Responsibility / Approval Required</w:t>
            </w:r>
          </w:p>
        </w:tc>
      </w:tr>
      <w:tr w:rsidR="003A262B" w:rsidRPr="003A262B" w14:paraId="7CEA5D4E" w14:textId="77777777" w:rsidTr="003A262B">
        <w:trPr>
          <w:tblCellSpacing w:w="15" w:type="dxa"/>
        </w:trPr>
        <w:tc>
          <w:tcPr>
            <w:tcW w:w="0" w:type="auto"/>
            <w:vAlign w:val="center"/>
            <w:hideMark/>
          </w:tcPr>
          <w:p w14:paraId="162D873F" w14:textId="77777777" w:rsidR="003A262B" w:rsidRPr="003A262B" w:rsidRDefault="003A262B" w:rsidP="003A262B">
            <w:r w:rsidRPr="003A262B">
              <w:t>Issuing of Invoices (Qualifications, Registrations, Services)</w:t>
            </w:r>
          </w:p>
        </w:tc>
        <w:tc>
          <w:tcPr>
            <w:tcW w:w="0" w:type="auto"/>
            <w:vAlign w:val="center"/>
            <w:hideMark/>
          </w:tcPr>
          <w:p w14:paraId="6BAA3CC6" w14:textId="22C04B1B" w:rsidR="003A262B" w:rsidRPr="003A262B" w:rsidRDefault="003A262B" w:rsidP="003A262B">
            <w:r w:rsidRPr="003A262B">
              <w:t>Finance Team – in accordance with Centre Agreement</w:t>
            </w:r>
            <w:r>
              <w:t xml:space="preserve"> and contracts</w:t>
            </w:r>
          </w:p>
        </w:tc>
      </w:tr>
      <w:tr w:rsidR="003A262B" w:rsidRPr="003A262B" w14:paraId="6233456F" w14:textId="77777777" w:rsidTr="003A262B">
        <w:trPr>
          <w:tblCellSpacing w:w="15" w:type="dxa"/>
        </w:trPr>
        <w:tc>
          <w:tcPr>
            <w:tcW w:w="0" w:type="auto"/>
            <w:vAlign w:val="center"/>
            <w:hideMark/>
          </w:tcPr>
          <w:p w14:paraId="460A7066" w14:textId="77777777" w:rsidR="003A262B" w:rsidRPr="003A262B" w:rsidRDefault="003A262B" w:rsidP="003A262B">
            <w:r w:rsidRPr="003A262B">
              <w:t>Verification of Backing Documents (e.g. learner and registration data)</w:t>
            </w:r>
          </w:p>
        </w:tc>
        <w:tc>
          <w:tcPr>
            <w:tcW w:w="0" w:type="auto"/>
            <w:vAlign w:val="center"/>
            <w:hideMark/>
          </w:tcPr>
          <w:p w14:paraId="1986C4A9" w14:textId="6CC709DE" w:rsidR="003A262B" w:rsidRPr="003A262B" w:rsidRDefault="00216CD7" w:rsidP="003A262B">
            <w:r>
              <w:t xml:space="preserve">Centre Support </w:t>
            </w:r>
            <w:r w:rsidR="003A262B" w:rsidRPr="003A262B">
              <w:t>– prior to invoice issue</w:t>
            </w:r>
          </w:p>
        </w:tc>
      </w:tr>
      <w:tr w:rsidR="003A262B" w:rsidRPr="003A262B" w14:paraId="1200C68C" w14:textId="77777777" w:rsidTr="003A262B">
        <w:trPr>
          <w:tblCellSpacing w:w="15" w:type="dxa"/>
        </w:trPr>
        <w:tc>
          <w:tcPr>
            <w:tcW w:w="0" w:type="auto"/>
            <w:vAlign w:val="center"/>
            <w:hideMark/>
          </w:tcPr>
          <w:p w14:paraId="63FB9C72" w14:textId="77777777" w:rsidR="003A262B" w:rsidRPr="003A262B" w:rsidRDefault="003A262B" w:rsidP="003A262B">
            <w:r w:rsidRPr="003A262B">
              <w:t>VAT Application and Compliance Checks</w:t>
            </w:r>
          </w:p>
        </w:tc>
        <w:tc>
          <w:tcPr>
            <w:tcW w:w="0" w:type="auto"/>
            <w:vAlign w:val="center"/>
            <w:hideMark/>
          </w:tcPr>
          <w:p w14:paraId="46ADBB8C" w14:textId="77777777" w:rsidR="003A262B" w:rsidRPr="003A262B" w:rsidRDefault="003A262B" w:rsidP="003A262B">
            <w:r w:rsidRPr="003A262B">
              <w:t>Finance Team</w:t>
            </w:r>
          </w:p>
        </w:tc>
      </w:tr>
      <w:tr w:rsidR="003A262B" w:rsidRPr="003A262B" w14:paraId="76F1CDCC" w14:textId="77777777" w:rsidTr="003A262B">
        <w:trPr>
          <w:tblCellSpacing w:w="15" w:type="dxa"/>
        </w:trPr>
        <w:tc>
          <w:tcPr>
            <w:tcW w:w="0" w:type="auto"/>
            <w:vAlign w:val="center"/>
            <w:hideMark/>
          </w:tcPr>
          <w:p w14:paraId="42CDB6C9" w14:textId="77777777" w:rsidR="003A262B" w:rsidRPr="003A262B" w:rsidRDefault="003A262B" w:rsidP="003A262B">
            <w:r w:rsidRPr="003A262B">
              <w:t>Authorisation of Credit Notes or Adjustments</w:t>
            </w:r>
          </w:p>
        </w:tc>
        <w:tc>
          <w:tcPr>
            <w:tcW w:w="0" w:type="auto"/>
            <w:vAlign w:val="center"/>
            <w:hideMark/>
          </w:tcPr>
          <w:p w14:paraId="68EA1343" w14:textId="77777777" w:rsidR="003A262B" w:rsidRPr="003A262B" w:rsidRDefault="003A262B" w:rsidP="003A262B">
            <w:r w:rsidRPr="003A262B">
              <w:t>Finance Manager or Head of Finance</w:t>
            </w:r>
          </w:p>
        </w:tc>
      </w:tr>
      <w:tr w:rsidR="003A262B" w:rsidRPr="003A262B" w14:paraId="21FDFA78" w14:textId="77777777" w:rsidTr="003A262B">
        <w:trPr>
          <w:tblCellSpacing w:w="15" w:type="dxa"/>
        </w:trPr>
        <w:tc>
          <w:tcPr>
            <w:tcW w:w="0" w:type="auto"/>
            <w:vAlign w:val="center"/>
            <w:hideMark/>
          </w:tcPr>
          <w:p w14:paraId="357110DB" w14:textId="77777777" w:rsidR="003A262B" w:rsidRPr="003A262B" w:rsidRDefault="003A262B" w:rsidP="003A262B">
            <w:r w:rsidRPr="003A262B">
              <w:t>Customer Requests for Detailed Fee Breakdown</w:t>
            </w:r>
          </w:p>
        </w:tc>
        <w:tc>
          <w:tcPr>
            <w:tcW w:w="0" w:type="auto"/>
            <w:vAlign w:val="center"/>
            <w:hideMark/>
          </w:tcPr>
          <w:p w14:paraId="4DA0843D" w14:textId="77777777" w:rsidR="003A262B" w:rsidRPr="003A262B" w:rsidRDefault="003A262B" w:rsidP="003A262B">
            <w:r w:rsidRPr="003A262B">
              <w:t>Finance Team (must reconcile to invoice and records)</w:t>
            </w:r>
          </w:p>
        </w:tc>
      </w:tr>
      <w:tr w:rsidR="003A262B" w:rsidRPr="003A262B" w14:paraId="4FE25C83" w14:textId="77777777" w:rsidTr="003A262B">
        <w:trPr>
          <w:tblCellSpacing w:w="15" w:type="dxa"/>
        </w:trPr>
        <w:tc>
          <w:tcPr>
            <w:tcW w:w="0" w:type="auto"/>
            <w:vAlign w:val="center"/>
            <w:hideMark/>
          </w:tcPr>
          <w:p w14:paraId="277E8D0F" w14:textId="77777777" w:rsidR="003A262B" w:rsidRPr="003A262B" w:rsidRDefault="003A262B" w:rsidP="003A262B">
            <w:r w:rsidRPr="003A262B">
              <w:t>Payment Processing and Allocation</w:t>
            </w:r>
          </w:p>
        </w:tc>
        <w:tc>
          <w:tcPr>
            <w:tcW w:w="0" w:type="auto"/>
            <w:vAlign w:val="center"/>
            <w:hideMark/>
          </w:tcPr>
          <w:p w14:paraId="3CF64C85" w14:textId="77777777" w:rsidR="003A262B" w:rsidRPr="003A262B" w:rsidRDefault="003A262B" w:rsidP="003A262B">
            <w:r w:rsidRPr="003A262B">
              <w:t>Finance Team</w:t>
            </w:r>
          </w:p>
        </w:tc>
      </w:tr>
      <w:tr w:rsidR="003A262B" w:rsidRPr="003A262B" w14:paraId="60687BB3" w14:textId="77777777" w:rsidTr="003A262B">
        <w:trPr>
          <w:tblCellSpacing w:w="15" w:type="dxa"/>
        </w:trPr>
        <w:tc>
          <w:tcPr>
            <w:tcW w:w="0" w:type="auto"/>
            <w:vAlign w:val="center"/>
            <w:hideMark/>
          </w:tcPr>
          <w:p w14:paraId="3A03F165" w14:textId="77777777" w:rsidR="003A262B" w:rsidRPr="003A262B" w:rsidRDefault="003A262B" w:rsidP="003A262B">
            <w:r w:rsidRPr="003A262B">
              <w:t>Policy Review and Oversight</w:t>
            </w:r>
          </w:p>
        </w:tc>
        <w:tc>
          <w:tcPr>
            <w:tcW w:w="0" w:type="auto"/>
            <w:vAlign w:val="center"/>
            <w:hideMark/>
          </w:tcPr>
          <w:p w14:paraId="4450876F" w14:textId="24F7D4FB" w:rsidR="003A262B" w:rsidRPr="003A262B" w:rsidRDefault="003A262B" w:rsidP="003A262B">
            <w:r>
              <w:t>Director</w:t>
            </w:r>
            <w:r w:rsidRPr="003A262B">
              <w:t xml:space="preserve"> of Finance and </w:t>
            </w:r>
            <w:r>
              <w:t>Operations</w:t>
            </w:r>
          </w:p>
        </w:tc>
      </w:tr>
    </w:tbl>
    <w:p w14:paraId="235E5BB8" w14:textId="52B26F09" w:rsidR="003A262B" w:rsidRPr="003A262B" w:rsidRDefault="003A262B" w:rsidP="003A262B"/>
    <w:p w14:paraId="466A891E" w14:textId="77777777" w:rsidR="003A262B" w:rsidRDefault="003A262B" w:rsidP="003A262B">
      <w:pPr>
        <w:rPr>
          <w:b/>
          <w:bCs/>
        </w:rPr>
      </w:pPr>
    </w:p>
    <w:p w14:paraId="75F16593" w14:textId="6AC9450A" w:rsidR="003A262B" w:rsidRPr="003A262B" w:rsidRDefault="003A262B" w:rsidP="003A262B">
      <w:pPr>
        <w:pStyle w:val="SubHeader"/>
        <w:rPr>
          <w:b/>
          <w:bCs/>
        </w:rPr>
      </w:pPr>
      <w:r w:rsidRPr="003A262B">
        <w:rPr>
          <w:b/>
          <w:bCs/>
        </w:rPr>
        <w:t>Invoice Queries and Contact Information</w:t>
      </w:r>
    </w:p>
    <w:p w14:paraId="5F8E225D" w14:textId="77777777" w:rsidR="003A262B" w:rsidRPr="003A262B" w:rsidRDefault="003A262B" w:rsidP="003A262B">
      <w:pPr>
        <w:pStyle w:val="SubHeader"/>
      </w:pPr>
    </w:p>
    <w:p w14:paraId="3E24D149" w14:textId="73DF7B67" w:rsidR="003A262B" w:rsidRDefault="003A262B" w:rsidP="003A262B">
      <w:pPr>
        <w:pStyle w:val="SubHeader"/>
        <w:rPr>
          <w:rFonts w:ascii="Segoe UI Emoji" w:hAnsi="Segoe UI Emoji" w:cs="Segoe UI Emoji"/>
        </w:rPr>
      </w:pPr>
      <w:r w:rsidRPr="003A262B">
        <w:t>Finance Enquiries</w:t>
      </w:r>
      <w:r w:rsidRPr="003A262B">
        <w:br/>
      </w:r>
    </w:p>
    <w:p w14:paraId="5FD840EE" w14:textId="77777777" w:rsidR="003A262B" w:rsidRDefault="003A262B" w:rsidP="003A262B">
      <w:r>
        <w:t xml:space="preserve">Phone: </w:t>
      </w:r>
      <w:r w:rsidRPr="003A262B">
        <w:t>0115 854 1620</w:t>
      </w:r>
    </w:p>
    <w:p w14:paraId="48D2C066" w14:textId="3E0EFBA2" w:rsidR="003A262B" w:rsidRPr="003A262B" w:rsidRDefault="003A262B" w:rsidP="003A262B">
      <w:r w:rsidRPr="003A262B">
        <w:br/>
      </w:r>
      <w:r>
        <w:t xml:space="preserve">Email: </w:t>
      </w:r>
      <w:r w:rsidRPr="00AD7918">
        <w:t>finance@skillsedugroup.co.uk</w:t>
      </w:r>
    </w:p>
    <w:p w14:paraId="4D9153A9" w14:textId="77777777" w:rsidR="001B1326" w:rsidRDefault="001B1326" w:rsidP="0048336A">
      <w:pPr>
        <w:rPr>
          <w:b/>
          <w:bCs/>
        </w:rPr>
      </w:pPr>
    </w:p>
    <w:p w14:paraId="3F336BB8" w14:textId="77777777" w:rsidR="003A262B" w:rsidRDefault="003A262B" w:rsidP="0048336A">
      <w:pPr>
        <w:rPr>
          <w:b/>
          <w:bCs/>
        </w:rPr>
      </w:pPr>
    </w:p>
    <w:p w14:paraId="604E0C00" w14:textId="77777777" w:rsidR="003A262B" w:rsidRDefault="003A262B" w:rsidP="0048336A">
      <w:pPr>
        <w:rPr>
          <w:b/>
          <w:bCs/>
        </w:rPr>
      </w:pPr>
    </w:p>
    <w:p w14:paraId="0756A91A" w14:textId="77777777" w:rsidR="003A262B" w:rsidRDefault="003A262B" w:rsidP="0048336A">
      <w:pPr>
        <w:rPr>
          <w:b/>
          <w:bCs/>
        </w:rPr>
      </w:pPr>
    </w:p>
    <w:p w14:paraId="6A69E625" w14:textId="77777777" w:rsidR="00842033" w:rsidRDefault="00842033" w:rsidP="0048336A">
      <w:pPr>
        <w:rPr>
          <w:b/>
          <w:bCs/>
        </w:rPr>
      </w:pPr>
    </w:p>
    <w:p w14:paraId="57604F62" w14:textId="77777777" w:rsidR="003A262B" w:rsidRDefault="003A262B" w:rsidP="0048336A">
      <w:pPr>
        <w:rPr>
          <w:b/>
          <w:bCs/>
        </w:rPr>
      </w:pPr>
    </w:p>
    <w:p w14:paraId="32C3F25F" w14:textId="77777777" w:rsidR="003A262B" w:rsidRDefault="003A262B" w:rsidP="003A262B">
      <w:pPr>
        <w:rPr>
          <w:b/>
          <w:bCs/>
        </w:rPr>
      </w:pPr>
      <w:r w:rsidRPr="003A262B">
        <w:rPr>
          <w:b/>
          <w:bCs/>
        </w:rPr>
        <w:lastRenderedPageBreak/>
        <w:t>Skills and Education Group – Invoicing Policy</w:t>
      </w:r>
    </w:p>
    <w:p w14:paraId="16732BF4" w14:textId="77777777" w:rsidR="003A262B" w:rsidRPr="003A262B" w:rsidRDefault="003A262B" w:rsidP="003A262B">
      <w:pPr>
        <w:rPr>
          <w:b/>
          <w:bCs/>
        </w:rPr>
      </w:pPr>
    </w:p>
    <w:p w14:paraId="2235FCAE" w14:textId="1E82ECF4" w:rsidR="003A262B" w:rsidRPr="003A262B" w:rsidRDefault="003A262B" w:rsidP="003A262B">
      <w:pPr>
        <w:pStyle w:val="ListParagraph"/>
        <w:numPr>
          <w:ilvl w:val="0"/>
          <w:numId w:val="36"/>
        </w:numPr>
        <w:rPr>
          <w:b/>
          <w:bCs/>
          <w:color w:val="171717" w:themeColor="background2" w:themeShade="1A"/>
          <w:kern w:val="0"/>
          <w:szCs w:val="22"/>
          <w14:ligatures w14:val="none"/>
        </w:rPr>
      </w:pPr>
      <w:r w:rsidRPr="003A262B">
        <w:rPr>
          <w:b/>
          <w:bCs/>
          <w:color w:val="171717" w:themeColor="background2" w:themeShade="1A"/>
          <w:kern w:val="0"/>
          <w:szCs w:val="22"/>
          <w14:ligatures w14:val="none"/>
        </w:rPr>
        <w:t>Introduction</w:t>
      </w:r>
    </w:p>
    <w:p w14:paraId="0A2091B8" w14:textId="77777777" w:rsidR="003A262B" w:rsidRPr="003A262B" w:rsidRDefault="003A262B" w:rsidP="003A262B">
      <w:pPr>
        <w:pStyle w:val="ListParagraph"/>
        <w:rPr>
          <w:color w:val="171717" w:themeColor="background2" w:themeShade="1A"/>
          <w:kern w:val="0"/>
          <w:szCs w:val="22"/>
          <w14:ligatures w14:val="none"/>
        </w:rPr>
      </w:pPr>
    </w:p>
    <w:p w14:paraId="0C2B74B5" w14:textId="77777777" w:rsidR="003A262B" w:rsidRDefault="003A262B" w:rsidP="003A262B">
      <w:pPr>
        <w:rPr>
          <w:color w:val="171717" w:themeColor="background2" w:themeShade="1A"/>
          <w:kern w:val="0"/>
          <w:szCs w:val="22"/>
          <w14:ligatures w14:val="none"/>
        </w:rPr>
      </w:pPr>
      <w:r w:rsidRPr="003A262B">
        <w:rPr>
          <w:color w:val="171717" w:themeColor="background2" w:themeShade="1A"/>
          <w:kern w:val="0"/>
          <w:szCs w:val="22"/>
          <w14:ligatures w14:val="none"/>
        </w:rPr>
        <w:t>Skills and Education Group (the “Organisation”) is committed to ensuring that all financial transactions, including invoicing for the provision of qualifications and services, are conducted in a transparent, accurate, and timely manner. This policy provides a framework for issuing, processing, and retaining invoices in compliance with applicable accounting standards (FRS 102), Charity SORP requirements, and VAT regulations. It also reflects the Organisation’s status as a VAT-registered entity with partial exemption.</w:t>
      </w:r>
    </w:p>
    <w:p w14:paraId="64354652" w14:textId="77777777" w:rsidR="003A262B" w:rsidRPr="003A262B" w:rsidRDefault="003A262B" w:rsidP="003A262B">
      <w:pPr>
        <w:rPr>
          <w:color w:val="171717" w:themeColor="background2" w:themeShade="1A"/>
          <w:kern w:val="0"/>
          <w:szCs w:val="22"/>
          <w14:ligatures w14:val="none"/>
        </w:rPr>
      </w:pPr>
    </w:p>
    <w:p w14:paraId="7A2900E4" w14:textId="77777777" w:rsidR="003A262B" w:rsidRPr="003A262B" w:rsidRDefault="003A262B" w:rsidP="003A262B">
      <w:pPr>
        <w:rPr>
          <w:color w:val="171717" w:themeColor="background2" w:themeShade="1A"/>
          <w:kern w:val="0"/>
          <w:szCs w:val="22"/>
          <w14:ligatures w14:val="none"/>
        </w:rPr>
      </w:pPr>
      <w:r w:rsidRPr="003A262B">
        <w:rPr>
          <w:color w:val="171717" w:themeColor="background2" w:themeShade="1A"/>
          <w:kern w:val="0"/>
          <w:szCs w:val="22"/>
          <w14:ligatures w14:val="none"/>
        </w:rPr>
        <w:t>The purpose of this policy is to provide clarity for staff, ensure consistency in practice, and maintain confidence and transparency for customers and regulators. It establishes clear responsibilities and procedures for the creation, payment, and retention of invoices and ensures that the Organisation’s invoicing practices support sound financial management and statutory compliance.</w:t>
      </w:r>
    </w:p>
    <w:p w14:paraId="393E5370" w14:textId="77777777" w:rsidR="003A262B" w:rsidRDefault="003A262B" w:rsidP="0048336A">
      <w:pPr>
        <w:rPr>
          <w:b/>
          <w:bCs/>
        </w:rPr>
      </w:pPr>
    </w:p>
    <w:p w14:paraId="3E3F4FA5" w14:textId="71C11552" w:rsidR="003A262B" w:rsidRPr="003A262B" w:rsidRDefault="00216CD7" w:rsidP="003A262B">
      <w:pPr>
        <w:pStyle w:val="ListParagraph"/>
        <w:numPr>
          <w:ilvl w:val="0"/>
          <w:numId w:val="36"/>
        </w:numPr>
        <w:rPr>
          <w:b/>
          <w:bCs/>
        </w:rPr>
      </w:pPr>
      <w:r>
        <w:rPr>
          <w:b/>
          <w:bCs/>
        </w:rPr>
        <w:t xml:space="preserve">Issuing </w:t>
      </w:r>
      <w:r w:rsidR="003A262B" w:rsidRPr="003A262B">
        <w:rPr>
          <w:b/>
          <w:bCs/>
        </w:rPr>
        <w:t>Invoice</w:t>
      </w:r>
      <w:r>
        <w:rPr>
          <w:b/>
          <w:bCs/>
        </w:rPr>
        <w:t>s</w:t>
      </w:r>
    </w:p>
    <w:p w14:paraId="349366A3" w14:textId="77777777" w:rsidR="003A262B" w:rsidRDefault="003A262B" w:rsidP="003A262B"/>
    <w:p w14:paraId="426861AC" w14:textId="53FE61D8" w:rsidR="003A262B" w:rsidRDefault="003A262B" w:rsidP="003A262B">
      <w:r w:rsidRPr="003A262B">
        <w:t xml:space="preserve">Invoices for the provision of qualifications or associated services will be issued promptly once the related service, registration, or assessment activity has been delivered or completed. </w:t>
      </w:r>
      <w:r w:rsidR="00216CD7">
        <w:t>Issuing invoices in a t</w:t>
      </w:r>
      <w:r w:rsidRPr="003A262B">
        <w:t>imely</w:t>
      </w:r>
      <w:r w:rsidR="00216CD7">
        <w:t xml:space="preserve"> manner </w:t>
      </w:r>
      <w:r w:rsidRPr="003A262B">
        <w:t>ensures that revenue is recognised in the correct accounting period, in line with FRS 102 and the Charity SORP principles of matching income to the period in which it is earned.</w:t>
      </w:r>
    </w:p>
    <w:p w14:paraId="65EFEDEC" w14:textId="77777777" w:rsidR="003A262B" w:rsidRDefault="003A262B" w:rsidP="003A262B"/>
    <w:p w14:paraId="22560723" w14:textId="18B3F745" w:rsidR="003A262B" w:rsidRDefault="003A262B" w:rsidP="003A262B">
      <w:r w:rsidRPr="003A262B">
        <w:t xml:space="preserve">All invoices will include a unique sequential invoice number, the date of issue, full customer details, a clear description of the services provided, the total amount due, applicable VAT, and the Organisation’s standard payment terms of </w:t>
      </w:r>
      <w:r w:rsidR="00216CD7">
        <w:t>as stated</w:t>
      </w:r>
      <w:r w:rsidRPr="003A262B">
        <w:t xml:space="preserve"> from the date of the invoice</w:t>
      </w:r>
      <w:r w:rsidR="00216CD7">
        <w:t xml:space="preserve"> </w:t>
      </w:r>
    </w:p>
    <w:p w14:paraId="594F38C4" w14:textId="77777777" w:rsidR="003A262B" w:rsidRDefault="003A262B" w:rsidP="003A262B"/>
    <w:p w14:paraId="33135014" w14:textId="1C0384EE" w:rsidR="003A262B" w:rsidRDefault="003A262B" w:rsidP="003A262B">
      <w:r w:rsidRPr="003A262B">
        <w:t>Where a customer requests further detail on the charges contained within an invoice, the Organisation will provide a comprehensive breakdown to a reasonable level of detail. This may include a schedule of learners or registrations covered by the invoice, the applicable qualification fees, and any additional charges incurred. The Finance Team will ensure that such supplementary information is accurate, clear, and reconciles fully with the original invoice.</w:t>
      </w:r>
    </w:p>
    <w:p w14:paraId="7112C857" w14:textId="77777777" w:rsidR="003A262B" w:rsidRDefault="003A262B" w:rsidP="003A262B"/>
    <w:p w14:paraId="2D361131" w14:textId="473DFC74" w:rsidR="003A262B" w:rsidRDefault="003A262B" w:rsidP="003A262B">
      <w:r w:rsidRPr="003A262B">
        <w:t>In cases where amendments are required after an invoice has been issued</w:t>
      </w:r>
      <w:r>
        <w:t xml:space="preserve"> - </w:t>
      </w:r>
      <w:r w:rsidRPr="003A262B">
        <w:t>such as adjustments due to learner withdrawals, fee changes, or data correction</w:t>
      </w:r>
      <w:r>
        <w:t xml:space="preserve">s - </w:t>
      </w:r>
      <w:r w:rsidRPr="003A262B">
        <w:t>credit notes or revised invoices will be issued in accordance with the Organisation’s financial control procedures.</w:t>
      </w:r>
    </w:p>
    <w:p w14:paraId="06B03576" w14:textId="401C68F4" w:rsidR="00842033" w:rsidRDefault="00842033" w:rsidP="003A262B">
      <w:r w:rsidRPr="00842033">
        <w:rPr>
          <w:lang w:val="en-US"/>
        </w:rPr>
        <w:t xml:space="preserve">Any disputes or queries relating to invoices should be reported immediately to the Finance Department. Disputed invoices will be reviewed, and any corrections or credit notes issued promptly. Unresolved issues may be escalated to the Head of Finance or </w:t>
      </w:r>
      <w:r>
        <w:rPr>
          <w:lang w:val="en-US"/>
        </w:rPr>
        <w:t>Finance Director</w:t>
      </w:r>
      <w:r w:rsidRPr="00842033">
        <w:rPr>
          <w:lang w:val="en-US"/>
        </w:rPr>
        <w:t>.</w:t>
      </w:r>
      <w:r w:rsidRPr="00842033">
        <w:rPr>
          <w:lang w:val="en-US"/>
        </w:rPr>
        <w:br/>
      </w:r>
    </w:p>
    <w:p w14:paraId="6436385A" w14:textId="77777777" w:rsidR="003A262B" w:rsidRDefault="003A262B" w:rsidP="003A262B">
      <w:r w:rsidRPr="003A262B">
        <w:lastRenderedPageBreak/>
        <w:t>The combination of accurate backing documentation, adherence to the Centre Agreement, and prompt issuance ensures that invoicing activity is consistent, auditable, and compliant with both financial and regulatory standards.</w:t>
      </w:r>
    </w:p>
    <w:p w14:paraId="35C8452F" w14:textId="77777777" w:rsidR="00842033" w:rsidRDefault="00842033" w:rsidP="003A262B"/>
    <w:p w14:paraId="20CEE806" w14:textId="0D5F2C32" w:rsidR="003A262B" w:rsidRPr="003A262B" w:rsidRDefault="003A262B" w:rsidP="003A262B">
      <w:pPr>
        <w:pStyle w:val="ListParagraph"/>
        <w:numPr>
          <w:ilvl w:val="0"/>
          <w:numId w:val="36"/>
        </w:numPr>
        <w:rPr>
          <w:b/>
          <w:bCs/>
        </w:rPr>
      </w:pPr>
      <w:r w:rsidRPr="003A262B">
        <w:rPr>
          <w:b/>
          <w:bCs/>
        </w:rPr>
        <w:t>Payment Terms and Follow-Up</w:t>
      </w:r>
    </w:p>
    <w:p w14:paraId="5FD87075" w14:textId="77777777" w:rsidR="003A262B" w:rsidRDefault="003A262B" w:rsidP="003A262B">
      <w:pPr>
        <w:rPr>
          <w:b/>
          <w:bCs/>
        </w:rPr>
      </w:pPr>
    </w:p>
    <w:p w14:paraId="5CEA0C28" w14:textId="3C0E1435" w:rsidR="003A262B" w:rsidRDefault="003A262B" w:rsidP="003A262B">
      <w:r w:rsidRPr="003A262B">
        <w:t xml:space="preserve">Customers are expected to settle invoices </w:t>
      </w:r>
      <w:r w:rsidR="00216CD7">
        <w:t>as stated from</w:t>
      </w:r>
      <w:r w:rsidRPr="003A262B">
        <w:t xml:space="preserve"> the invoice date. </w:t>
      </w:r>
      <w:proofErr w:type="gramStart"/>
      <w:r w:rsidRPr="003A262B">
        <w:t>In the event that</w:t>
      </w:r>
      <w:proofErr w:type="gramEnd"/>
      <w:r w:rsidRPr="003A262B">
        <w:t xml:space="preserve"> an invoice is not paid on time, the Organisation reserves the right to take proportionate measures, which may include charging interest on overdue amounts or suspending the provision of further services until outstanding invoices are settled.</w:t>
      </w:r>
    </w:p>
    <w:p w14:paraId="74A8E88F" w14:textId="77777777" w:rsidR="003A262B" w:rsidRPr="003A262B" w:rsidRDefault="003A262B" w:rsidP="003A262B"/>
    <w:p w14:paraId="19E131E6" w14:textId="77777777" w:rsidR="003A262B" w:rsidRPr="003A262B" w:rsidRDefault="003A262B" w:rsidP="003A262B">
      <w:r w:rsidRPr="003A262B">
        <w:t>The Finance Team is responsible for monitoring unpaid invoices, following up with customers on overdue payments, and maintaining accurate records of all communications and transactions related to invoicing. This ensures that income is collected in a timely manner, reducing financial risk and supporting accurate financial reporting.</w:t>
      </w:r>
    </w:p>
    <w:p w14:paraId="131EB519" w14:textId="77777777" w:rsidR="003A262B" w:rsidRDefault="003A262B" w:rsidP="003A262B">
      <w:pPr>
        <w:rPr>
          <w:b/>
          <w:bCs/>
        </w:rPr>
      </w:pPr>
    </w:p>
    <w:p w14:paraId="609533B5" w14:textId="0D4A59FD" w:rsidR="003A262B" w:rsidRPr="003A262B" w:rsidRDefault="003A262B" w:rsidP="003A262B">
      <w:pPr>
        <w:pStyle w:val="ListParagraph"/>
        <w:numPr>
          <w:ilvl w:val="0"/>
          <w:numId w:val="36"/>
        </w:numPr>
        <w:rPr>
          <w:b/>
          <w:bCs/>
        </w:rPr>
      </w:pPr>
      <w:r w:rsidRPr="003A262B">
        <w:rPr>
          <w:b/>
          <w:bCs/>
        </w:rPr>
        <w:t>Retention and Storage of Invoices</w:t>
      </w:r>
    </w:p>
    <w:p w14:paraId="35DA2857" w14:textId="77777777" w:rsidR="003A262B" w:rsidRPr="003A262B" w:rsidRDefault="003A262B" w:rsidP="003A262B">
      <w:pPr>
        <w:pStyle w:val="ListParagraph"/>
        <w:rPr>
          <w:b/>
          <w:bCs/>
        </w:rPr>
      </w:pPr>
    </w:p>
    <w:p w14:paraId="56ED8FE1" w14:textId="77777777" w:rsidR="003A262B" w:rsidRPr="003A262B" w:rsidRDefault="003A262B" w:rsidP="003A262B">
      <w:r w:rsidRPr="003A262B">
        <w:t xml:space="preserve">In accordance with statutory requirements, invoices will be retained for a minimum of six years. Retention may be either in physical or electronic form, </w:t>
      </w:r>
      <w:proofErr w:type="gramStart"/>
      <w:r w:rsidRPr="003A262B">
        <w:t>provided that</w:t>
      </w:r>
      <w:proofErr w:type="gramEnd"/>
      <w:r w:rsidRPr="003A262B">
        <w:t xml:space="preserve"> records are securely stored and readily accessible for audit, compliance, or regulatory purposes. The Organisation’s approach to retention ensures that both financial and VAT records are maintained consistently, enabling efficient reporting and adherence to statutory requirements.</w:t>
      </w:r>
    </w:p>
    <w:p w14:paraId="75D1D34B" w14:textId="77777777" w:rsidR="003A262B" w:rsidRDefault="003A262B" w:rsidP="003A262B">
      <w:pPr>
        <w:rPr>
          <w:b/>
          <w:bCs/>
        </w:rPr>
      </w:pPr>
    </w:p>
    <w:p w14:paraId="7CC14DC1" w14:textId="3AEA757B" w:rsidR="002015C0" w:rsidRPr="002015C0" w:rsidRDefault="002015C0" w:rsidP="002015C0">
      <w:pPr>
        <w:pStyle w:val="ListParagraph"/>
        <w:numPr>
          <w:ilvl w:val="0"/>
          <w:numId w:val="36"/>
        </w:numPr>
        <w:rPr>
          <w:b/>
          <w:bCs/>
        </w:rPr>
      </w:pPr>
      <w:r w:rsidRPr="002015C0">
        <w:rPr>
          <w:b/>
          <w:bCs/>
        </w:rPr>
        <w:t>Accounting Standards Compliance</w:t>
      </w:r>
    </w:p>
    <w:p w14:paraId="3AF743A2" w14:textId="77777777" w:rsidR="002015C0" w:rsidRPr="002015C0" w:rsidRDefault="002015C0" w:rsidP="002015C0">
      <w:pPr>
        <w:pStyle w:val="ListParagraph"/>
      </w:pPr>
    </w:p>
    <w:p w14:paraId="1ED0DB0E" w14:textId="4C696DFD" w:rsidR="002015C0" w:rsidRPr="002015C0" w:rsidRDefault="002015C0" w:rsidP="002015C0">
      <w:pPr>
        <w:pStyle w:val="ListParagraph"/>
        <w:numPr>
          <w:ilvl w:val="1"/>
          <w:numId w:val="36"/>
        </w:numPr>
        <w:rPr>
          <w:b/>
          <w:bCs/>
        </w:rPr>
      </w:pPr>
      <w:r w:rsidRPr="002015C0">
        <w:rPr>
          <w:b/>
          <w:bCs/>
        </w:rPr>
        <w:t>FRS 102</w:t>
      </w:r>
    </w:p>
    <w:p w14:paraId="272187F4" w14:textId="77777777" w:rsidR="002015C0" w:rsidRPr="002015C0" w:rsidRDefault="002015C0" w:rsidP="002015C0">
      <w:pPr>
        <w:pStyle w:val="ListParagraph"/>
        <w:ind w:left="1080"/>
      </w:pPr>
    </w:p>
    <w:p w14:paraId="4D7057F7" w14:textId="77777777" w:rsidR="002015C0" w:rsidRDefault="002015C0" w:rsidP="002015C0">
      <w:r w:rsidRPr="002015C0">
        <w:t xml:space="preserve">The Organisation recognises revenue in accordance with FRS 102 principles. Revenue from the provision of qualifications is recognised when it is probable that future economic benefits will flow to the Organisation and the amount of revenue can be measured reliably. For services delivered over a period, revenue is recognised on an </w:t>
      </w:r>
      <w:proofErr w:type="gramStart"/>
      <w:r w:rsidRPr="002015C0">
        <w:t>accruals</w:t>
      </w:r>
      <w:proofErr w:type="gramEnd"/>
      <w:r w:rsidRPr="002015C0">
        <w:t xml:space="preserve"> basis, ensuring that income is matched with the period in which the service is delivered.</w:t>
      </w:r>
    </w:p>
    <w:p w14:paraId="15B9371A" w14:textId="77777777" w:rsidR="002015C0" w:rsidRPr="002015C0" w:rsidRDefault="002015C0" w:rsidP="002015C0"/>
    <w:p w14:paraId="69EB7B31" w14:textId="1D84DF63" w:rsidR="002015C0" w:rsidRPr="002015C0" w:rsidRDefault="002015C0" w:rsidP="002015C0">
      <w:pPr>
        <w:rPr>
          <w:b/>
          <w:bCs/>
        </w:rPr>
      </w:pPr>
      <w:r w:rsidRPr="002015C0">
        <w:rPr>
          <w:b/>
          <w:bCs/>
        </w:rPr>
        <w:t>5.2 Charity SORP</w:t>
      </w:r>
      <w:r>
        <w:rPr>
          <w:b/>
          <w:bCs/>
        </w:rPr>
        <w:t xml:space="preserve"> Consideration</w:t>
      </w:r>
    </w:p>
    <w:p w14:paraId="3FFBE64C" w14:textId="77777777" w:rsidR="002015C0" w:rsidRDefault="002015C0" w:rsidP="002015C0"/>
    <w:p w14:paraId="09E1E630" w14:textId="2A05C303" w:rsidR="002015C0" w:rsidRDefault="002015C0" w:rsidP="002015C0">
      <w:r w:rsidRPr="002015C0">
        <w:t>As a charity preparing accounts in line with the Charity SORP (FRS 102-based), the Organisation ensures that income is classified appropriately as unrestricted, restricted, or designated funds. Invoices issued for specific program</w:t>
      </w:r>
      <w:r w:rsidR="00216CD7">
        <w:t>mes</w:t>
      </w:r>
      <w:r w:rsidRPr="002015C0">
        <w:t xml:space="preserve"> or services funded by restricted donations or grants are treated in accordance with SORP guidance, ensuring that income is recorded accurately and in the correct fund category. </w:t>
      </w:r>
    </w:p>
    <w:p w14:paraId="32FD8C1B" w14:textId="77777777" w:rsidR="002015C0" w:rsidRDefault="002015C0" w:rsidP="002015C0"/>
    <w:p w14:paraId="0637527B" w14:textId="7535F56B" w:rsidR="002015C0" w:rsidRPr="002015C0" w:rsidRDefault="002015C0" w:rsidP="002015C0">
      <w:pPr>
        <w:pStyle w:val="ListParagraph"/>
        <w:numPr>
          <w:ilvl w:val="0"/>
          <w:numId w:val="36"/>
        </w:numPr>
        <w:rPr>
          <w:b/>
          <w:bCs/>
        </w:rPr>
      </w:pPr>
      <w:r w:rsidRPr="002015C0">
        <w:rPr>
          <w:b/>
          <w:bCs/>
        </w:rPr>
        <w:lastRenderedPageBreak/>
        <w:t>VAT Compliance</w:t>
      </w:r>
    </w:p>
    <w:p w14:paraId="05D27097" w14:textId="77777777" w:rsidR="002015C0" w:rsidRPr="002015C0" w:rsidRDefault="002015C0" w:rsidP="002015C0">
      <w:pPr>
        <w:rPr>
          <w:b/>
          <w:bCs/>
        </w:rPr>
      </w:pPr>
    </w:p>
    <w:p w14:paraId="1363F767" w14:textId="77777777" w:rsidR="002015C0" w:rsidRPr="002015C0" w:rsidRDefault="002015C0" w:rsidP="002015C0">
      <w:r w:rsidRPr="002015C0">
        <w:t>Being VAT-registered with partial exemption status, the Organisation applies VAT to invoices as appropriate, reflecting the nature of the supply and the customer’s VAT status. For input VAT recovery, the Organisation follows the standard method of partial exemption, apportioning input tax according to the proportion of taxable to total supplies. This apportionment is reviewed annually to ensure that it remains reasonable and compliant with HMRC guidance (VAT Notice 706). All invoices will clearly indicate any VAT charged and comply fully with statutory requirements for content and format.</w:t>
      </w:r>
    </w:p>
    <w:p w14:paraId="58F75916" w14:textId="77777777" w:rsidR="002015C0" w:rsidRDefault="002015C0" w:rsidP="002015C0"/>
    <w:p w14:paraId="7B486BB8" w14:textId="6F2F2D15" w:rsidR="002015C0" w:rsidRPr="002015C0" w:rsidRDefault="002015C0" w:rsidP="002015C0">
      <w:pPr>
        <w:pStyle w:val="ListParagraph"/>
        <w:numPr>
          <w:ilvl w:val="0"/>
          <w:numId w:val="36"/>
        </w:numPr>
        <w:rPr>
          <w:b/>
          <w:bCs/>
        </w:rPr>
      </w:pPr>
      <w:r w:rsidRPr="002015C0">
        <w:rPr>
          <w:b/>
          <w:bCs/>
        </w:rPr>
        <w:t>Policy Governance and Review</w:t>
      </w:r>
    </w:p>
    <w:p w14:paraId="1C75D312" w14:textId="77777777" w:rsidR="002015C0" w:rsidRPr="002015C0" w:rsidRDefault="002015C0" w:rsidP="002015C0"/>
    <w:p w14:paraId="7A7DD5FB" w14:textId="68D72F63" w:rsidR="002015C0" w:rsidRDefault="002015C0" w:rsidP="003A262B">
      <w:r w:rsidRPr="002015C0">
        <w:t xml:space="preserve">This invoicing policy is reviewed annually by </w:t>
      </w:r>
      <w:r w:rsidR="00216CD7">
        <w:t>the Director of Finance and Operations</w:t>
      </w:r>
      <w:r w:rsidRPr="002015C0">
        <w:t xml:space="preserve"> to ensure ongoing compliance with accounting standards, Charity SORP, and VAT regulations. The policy is available to customers, staff, and auditors upon request</w:t>
      </w:r>
      <w:r>
        <w:t>.</w:t>
      </w:r>
      <w:r w:rsidR="00AD7918">
        <w:t xml:space="preserve"> </w:t>
      </w:r>
    </w:p>
    <w:p w14:paraId="582BBC93" w14:textId="77777777" w:rsidR="00AD7918" w:rsidRDefault="00AD7918" w:rsidP="003A262B"/>
    <w:p w14:paraId="6D8C66B5" w14:textId="57971ABE" w:rsidR="00AD7918" w:rsidRDefault="00AD7918" w:rsidP="003A262B">
      <w:r>
        <w:t>The policy will be reviewed annually or whenever there are significant changes in legislation, organisational structure, or accounting procedures. The Finance Department is responsible for maintaining and updating this document.</w:t>
      </w:r>
    </w:p>
    <w:p w14:paraId="2E6BBD82" w14:textId="77777777" w:rsidR="002015C0" w:rsidRDefault="002015C0" w:rsidP="003A262B"/>
    <w:p w14:paraId="68C2321E" w14:textId="27961C95" w:rsidR="002015C0" w:rsidRPr="002015C0" w:rsidRDefault="002015C0" w:rsidP="002015C0">
      <w:pPr>
        <w:pStyle w:val="ListParagraph"/>
        <w:numPr>
          <w:ilvl w:val="0"/>
          <w:numId w:val="36"/>
        </w:numPr>
        <w:rPr>
          <w:b/>
          <w:bCs/>
        </w:rPr>
      </w:pPr>
      <w:r w:rsidRPr="002015C0">
        <w:rPr>
          <w:b/>
          <w:bCs/>
        </w:rPr>
        <w:t>Responsibilities</w:t>
      </w:r>
    </w:p>
    <w:p w14:paraId="712806B4" w14:textId="77777777" w:rsidR="002015C0" w:rsidRPr="002015C0" w:rsidRDefault="002015C0" w:rsidP="002015C0">
      <w:pPr>
        <w:pStyle w:val="ListParagraph"/>
        <w:rPr>
          <w:b/>
          <w:bCs/>
        </w:rPr>
      </w:pPr>
    </w:p>
    <w:p w14:paraId="7D098AD4" w14:textId="7F7FF1EB" w:rsidR="002015C0" w:rsidRDefault="002015C0" w:rsidP="002015C0">
      <w:r w:rsidRPr="002015C0">
        <w:t>The Finance Team is responsible for issuing invoices, recording payments, and ensuring compliance with FRS 102, Charity SORP, and VAT regulations. C</w:t>
      </w:r>
      <w:r w:rsidR="00AF0D03">
        <w:t>ent</w:t>
      </w:r>
      <w:r w:rsidRPr="002015C0">
        <w:t>r</w:t>
      </w:r>
      <w:r w:rsidR="00AF0D03">
        <w:t>e</w:t>
      </w:r>
      <w:r w:rsidRPr="002015C0">
        <w:t xml:space="preserve"> S</w:t>
      </w:r>
      <w:r w:rsidR="00216CD7">
        <w:t>upport</w:t>
      </w:r>
      <w:r w:rsidR="00AF0D03">
        <w:t>, Compliance &amp; Regulation</w:t>
      </w:r>
      <w:r w:rsidRPr="002015C0">
        <w:t xml:space="preserve"> </w:t>
      </w:r>
      <w:r w:rsidR="00AF0D03">
        <w:t>T</w:t>
      </w:r>
      <w:r w:rsidRPr="002015C0">
        <w:t xml:space="preserve">eams support the Finance Team by providing accurate information regarding services delivered and responding to queries about invoices. </w:t>
      </w:r>
      <w:r w:rsidR="00AF0D03">
        <w:t>The Senior Leadership Team</w:t>
      </w:r>
      <w:r w:rsidRPr="002015C0">
        <w:t xml:space="preserve"> is responsible for approving the policy, reviewing compliance</w:t>
      </w:r>
      <w:r w:rsidR="00AD7918">
        <w:t xml:space="preserve"> and</w:t>
      </w:r>
      <w:r w:rsidRPr="002015C0">
        <w:t xml:space="preserve"> </w:t>
      </w:r>
      <w:r w:rsidR="00842033">
        <w:t>debtor performance</w:t>
      </w:r>
      <w:r w:rsidR="00AD7918">
        <w:t>.</w:t>
      </w:r>
    </w:p>
    <w:p w14:paraId="3A6E885A" w14:textId="77777777" w:rsidR="00842033" w:rsidRDefault="00842033" w:rsidP="002015C0"/>
    <w:p w14:paraId="506AD6A6" w14:textId="73C878E5" w:rsidR="00842033" w:rsidRPr="00842033" w:rsidRDefault="00842033" w:rsidP="00842033">
      <w:pPr>
        <w:pStyle w:val="ListParagraph"/>
        <w:numPr>
          <w:ilvl w:val="0"/>
          <w:numId w:val="36"/>
        </w:numPr>
        <w:rPr>
          <w:b/>
          <w:bCs/>
        </w:rPr>
      </w:pPr>
      <w:r w:rsidRPr="00842033">
        <w:rPr>
          <w:b/>
          <w:bCs/>
        </w:rPr>
        <w:t>Data Protection &amp; Confidentiality</w:t>
      </w:r>
    </w:p>
    <w:p w14:paraId="311DDEA6" w14:textId="77777777" w:rsidR="00842033" w:rsidRDefault="00842033" w:rsidP="00842033"/>
    <w:p w14:paraId="2AB39E1D" w14:textId="77777777" w:rsidR="00842033" w:rsidRDefault="00842033" w:rsidP="00842033">
      <w:pPr>
        <w:rPr>
          <w:lang w:val="en-US"/>
        </w:rPr>
      </w:pPr>
      <w:r w:rsidRPr="00842033">
        <w:rPr>
          <w:lang w:val="en-US"/>
        </w:rPr>
        <w:t xml:space="preserve">All invoice data must be handled in compliance with UK GDPR and internal data protection policies. Customer and supplier information must remain confidential and only be accessed by </w:t>
      </w:r>
      <w:proofErr w:type="spellStart"/>
      <w:r w:rsidRPr="00842033">
        <w:rPr>
          <w:lang w:val="en-US"/>
        </w:rPr>
        <w:t>authorised</w:t>
      </w:r>
      <w:proofErr w:type="spellEnd"/>
      <w:r w:rsidRPr="00842033">
        <w:rPr>
          <w:lang w:val="en-US"/>
        </w:rPr>
        <w:t xml:space="preserve"> personnel.</w:t>
      </w:r>
    </w:p>
    <w:p w14:paraId="026ACCF0" w14:textId="77777777" w:rsidR="00842033" w:rsidRDefault="00842033" w:rsidP="00842033">
      <w:pPr>
        <w:rPr>
          <w:lang w:val="en-US"/>
        </w:rPr>
      </w:pPr>
    </w:p>
    <w:p w14:paraId="50D61BF3" w14:textId="47C59826" w:rsidR="00842033" w:rsidRPr="00842033" w:rsidRDefault="00842033" w:rsidP="00842033">
      <w:r w:rsidRPr="00842033">
        <w:rPr>
          <w:lang w:val="en-US"/>
        </w:rPr>
        <w:br/>
      </w:r>
    </w:p>
    <w:p w14:paraId="3EC10F8F" w14:textId="77777777" w:rsidR="002015C0" w:rsidRPr="002015C0" w:rsidRDefault="002015C0" w:rsidP="003A262B"/>
    <w:p w14:paraId="1262DADC" w14:textId="77777777" w:rsidR="003A262B" w:rsidRDefault="003A262B" w:rsidP="003A262B"/>
    <w:p w14:paraId="5379A28D" w14:textId="77777777" w:rsidR="003A262B" w:rsidRPr="0048336A" w:rsidRDefault="003A262B" w:rsidP="003A262B"/>
    <w:sectPr w:rsidR="003A262B" w:rsidRPr="0048336A" w:rsidSect="004D5420">
      <w:headerReference w:type="default" r:id="rId8"/>
      <w:pgSz w:w="11906" w:h="16838" w:code="9"/>
      <w:pgMar w:top="283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91DF7" w14:textId="77777777" w:rsidR="003A262B" w:rsidRPr="004F30C9" w:rsidRDefault="003A262B" w:rsidP="00C03E65">
      <w:r w:rsidRPr="004F30C9">
        <w:separator/>
      </w:r>
    </w:p>
  </w:endnote>
  <w:endnote w:type="continuationSeparator" w:id="0">
    <w:p w14:paraId="11FC31B6" w14:textId="77777777" w:rsidR="003A262B" w:rsidRPr="004F30C9" w:rsidRDefault="003A262B" w:rsidP="00C03E65">
      <w:r w:rsidRPr="004F30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4A33F" w14:textId="77777777" w:rsidR="003A262B" w:rsidRPr="004F30C9" w:rsidRDefault="003A262B" w:rsidP="00C03E65">
      <w:r w:rsidRPr="004F30C9">
        <w:separator/>
      </w:r>
    </w:p>
  </w:footnote>
  <w:footnote w:type="continuationSeparator" w:id="0">
    <w:p w14:paraId="63628808" w14:textId="77777777" w:rsidR="003A262B" w:rsidRPr="004F30C9" w:rsidRDefault="003A262B" w:rsidP="00C03E65">
      <w:r w:rsidRPr="004F30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6BC77" w14:textId="77777777" w:rsidR="003A262B" w:rsidRDefault="003A262B">
    <w:pPr>
      <w:pStyle w:val="Header"/>
    </w:pPr>
    <w:r>
      <w:rPr>
        <w:noProof/>
      </w:rPr>
      <mc:AlternateContent>
        <mc:Choice Requires="wps">
          <w:drawing>
            <wp:anchor distT="0" distB="0" distL="114300" distR="114300" simplePos="0" relativeHeight="251660288" behindDoc="1" locked="0" layoutInCell="1" allowOverlap="1" wp14:anchorId="0D6D02EC" wp14:editId="2A15D3D4">
              <wp:simplePos x="0" y="0"/>
              <wp:positionH relativeFrom="rightMargin">
                <wp:posOffset>-1350010</wp:posOffset>
              </wp:positionH>
              <wp:positionV relativeFrom="page">
                <wp:posOffset>-554355</wp:posOffset>
              </wp:positionV>
              <wp:extent cx="1497600" cy="1436400"/>
              <wp:effectExtent l="0" t="0" r="7620" b="30480"/>
              <wp:wrapNone/>
              <wp:docPr id="175415800" name="Block Arc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9621035">
                        <a:off x="0" y="0"/>
                        <a:ext cx="1497600" cy="1436400"/>
                      </a:xfrm>
                      <a:prstGeom prst="blockArc">
                        <a:avLst/>
                      </a:prstGeom>
                      <a:solidFill>
                        <a:schemeClr val="accent3"/>
                      </a:solidFill>
                      <a:ln>
                        <a:solidFill>
                          <a:schemeClr val="accent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FC0305" id="Block Arc 3" o:spid="_x0000_s1026" style="position:absolute;margin-left:-106.3pt;margin-top:-43.65pt;width:117.9pt;height:113.1pt;rotation:10508736fd;z-index:-2516561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coordsize="1497600,1436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" path="m,718200c,321549,335249,,748800,v413551,,748800,321549,748800,718200l1138500,718200v,-198325,-174475,-359100,-389700,-359100c533575,359100,359100,519875,359100,718200l,718200xe" fillcolor="#eb4748 [3206]" strokecolor="#eb4748 [3206]" strokeweight="1.5pt">
              <v:stroke joinstyle="miter"/>
              <v:path arrowok="t" o:connecttype="custom" o:connectlocs="0,718200;748800,0;1497600,718200;1138500,718200;748800,359100;359100,718200;0,718200" o:connectangles="0,0,0,0,0,0,0"/>
              <o:lock v:ext="edit" aspectratio="t"/>
              <w10:wrap anchorx="margin" anchory="page"/>
            </v:shape>
          </w:pict>
        </mc:Fallback>
      </mc:AlternateContent>
    </w:r>
    <w:r>
      <w:rPr>
        <w:noProof/>
      </w:rPr>
      <mc:AlternateContent>
        <mc:Choice Requires="wps">
          <w:drawing>
            <wp:anchor distT="0" distB="0" distL="114300" distR="114300" simplePos="0" relativeHeight="251659264" behindDoc="1" locked="0" layoutInCell="1" allowOverlap="1" wp14:anchorId="226C396B" wp14:editId="2CE389B3">
              <wp:simplePos x="0" y="0"/>
              <wp:positionH relativeFrom="rightMargin">
                <wp:posOffset>-561975</wp:posOffset>
              </wp:positionH>
              <wp:positionV relativeFrom="page">
                <wp:posOffset>-514985</wp:posOffset>
              </wp:positionV>
              <wp:extent cx="2700000" cy="2552400"/>
              <wp:effectExtent l="0" t="57150" r="0" b="0"/>
              <wp:wrapNone/>
              <wp:docPr id="1407180776" name="Block Arc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rot="19060706">
                        <a:off x="0" y="0"/>
                        <a:ext cx="2700000" cy="2552400"/>
                      </a:xfrm>
                      <a:prstGeom prst="blockArc">
                        <a:avLst/>
                      </a:prstGeom>
                      <a:solidFill>
                        <a:schemeClr val="accent4"/>
                      </a:solidFill>
                      <a:ln>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67430" id="Block Arc 3" o:spid="_x0000_s1026" style="position:absolute;margin-left:-44.25pt;margin-top:-40.55pt;width:212.6pt;height:201pt;rotation:-2773586fd;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coordsize="2700000,25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" path="m,1276200c,571374,604416,,1350000,v745584,,1350000,571374,1350000,1276200l2061900,1276200v,-352413,-318728,-638100,-711900,-638100c956828,638100,638100,923787,638100,1276200l,1276200xe" fillcolor="#043956 [3207]" strokecolor="#043956 [3207]" strokeweight="1.5pt">
              <v:stroke joinstyle="miter"/>
              <v:path arrowok="t" o:connecttype="custom" o:connectlocs="0,1276200;1350000,0;2700000,1276200;2061900,1276200;1350000,638100;638100,1276200;0,1276200" o:connectangles="0,0,0,0,0,0,0"/>
              <o:lock v:ext="edit" aspectratio="t"/>
              <w10:wrap anchorx="margin" anchory="page"/>
            </v:shape>
          </w:pict>
        </mc:Fallback>
      </mc:AlternateContent>
    </w:r>
    <w:r>
      <w:rPr>
        <w:noProof/>
      </w:rPr>
      <w:drawing>
        <wp:anchor distT="0" distB="0" distL="114300" distR="114300" simplePos="0" relativeHeight="251661312" behindDoc="1" locked="0" layoutInCell="1" allowOverlap="1" wp14:anchorId="30266AF9" wp14:editId="4CE2AF38">
          <wp:simplePos x="0" y="0"/>
          <wp:positionH relativeFrom="column">
            <wp:posOffset>-2540</wp:posOffset>
          </wp:positionH>
          <wp:positionV relativeFrom="page">
            <wp:posOffset>763270</wp:posOffset>
          </wp:positionV>
          <wp:extent cx="1579880" cy="575945"/>
          <wp:effectExtent l="0" t="0" r="1270" b="0"/>
          <wp:wrapNone/>
          <wp:docPr id="1745130120" name="Picture 6"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30120" name="Picture 6" descr="A blue and red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79880" cy="575945"/>
                  </a:xfrm>
                  <a:prstGeom prst="rect">
                    <a:avLst/>
                  </a:prstGeom>
                </pic:spPr>
              </pic:pic>
            </a:graphicData>
          </a:graphic>
          <wp14:sizeRelH relativeFrom="page">
            <wp14:pctWidth>0</wp14:pctWidth>
          </wp14:sizeRelH>
          <wp14:sizeRelV relativeFrom="page">
            <wp14:pctHeight>0</wp14:pctHeight>
          </wp14:sizeRelV>
        </wp:anchor>
      </w:drawing>
    </w:r>
  </w:p>
  <w:p w14:paraId="6948EEDB" w14:textId="77777777" w:rsidR="003A262B" w:rsidRDefault="003A262B">
    <w:pPr>
      <w:pStyle w:val="Header"/>
    </w:pPr>
  </w:p>
  <w:p w14:paraId="2E00284B" w14:textId="77777777" w:rsidR="003A262B" w:rsidRDefault="003A262B">
    <w:pPr>
      <w:pStyle w:val="Header"/>
    </w:pPr>
  </w:p>
  <w:p w14:paraId="57168BD4" w14:textId="77777777" w:rsidR="003A262B" w:rsidRDefault="003A262B">
    <w:pPr>
      <w:pStyle w:val="Header"/>
    </w:pPr>
  </w:p>
  <w:p w14:paraId="16FF21E7" w14:textId="77777777" w:rsidR="003A262B" w:rsidRDefault="003A262B">
    <w:pPr>
      <w:pStyle w:val="Header"/>
    </w:pPr>
  </w:p>
  <w:p w14:paraId="54C4653F" w14:textId="77777777" w:rsidR="003A262B" w:rsidRPr="004F30C9" w:rsidRDefault="003A262B">
    <w:pPr>
      <w:pStyle w:val="Header"/>
    </w:pPr>
  </w:p>
  <w:p w14:paraId="122A0687" w14:textId="77777777" w:rsidR="003A262B" w:rsidRDefault="003A2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DB9"/>
    <w:multiLevelType w:val="hybridMultilevel"/>
    <w:tmpl w:val="FD3C6A12"/>
    <w:lvl w:ilvl="0" w:tplc="9AB6DEA4">
      <w:start w:val="1"/>
      <w:numFmt w:val="bullet"/>
      <w:lvlText w:val=""/>
      <w:lvlJc w:val="left"/>
      <w:pPr>
        <w:ind w:left="720" w:hanging="360"/>
      </w:pPr>
      <w:rPr>
        <w:rFonts w:ascii="Symbol" w:hAnsi="Symbol" w:hint="default"/>
        <w:b/>
        <w:i w:val="0"/>
        <w:color w:val="043956"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05788"/>
    <w:multiLevelType w:val="multilevel"/>
    <w:tmpl w:val="64545F76"/>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 w15:restartNumberingAfterBreak="0">
    <w:nsid w:val="13F42E4D"/>
    <w:multiLevelType w:val="hybridMultilevel"/>
    <w:tmpl w:val="F9086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60BCC"/>
    <w:multiLevelType w:val="hybridMultilevel"/>
    <w:tmpl w:val="89E0FB0E"/>
    <w:lvl w:ilvl="0" w:tplc="F1948252">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 w15:restartNumberingAfterBreak="0">
    <w:nsid w:val="20D25037"/>
    <w:multiLevelType w:val="hybridMultilevel"/>
    <w:tmpl w:val="309EADE6"/>
    <w:lvl w:ilvl="0" w:tplc="9AB6DEA4">
      <w:start w:val="1"/>
      <w:numFmt w:val="bullet"/>
      <w:lvlText w:val=""/>
      <w:lvlJc w:val="left"/>
      <w:pPr>
        <w:ind w:left="720" w:hanging="360"/>
      </w:pPr>
      <w:rPr>
        <w:rFonts w:ascii="Symbol" w:hAnsi="Symbol" w:hint="default"/>
        <w:b/>
        <w:i w:val="0"/>
        <w:color w:val="043956"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579DE"/>
    <w:multiLevelType w:val="multilevel"/>
    <w:tmpl w:val="B984AFCA"/>
    <w:numStyleLink w:val="Arrows"/>
  </w:abstractNum>
  <w:abstractNum w:abstractNumId="6" w15:restartNumberingAfterBreak="0">
    <w:nsid w:val="211256F1"/>
    <w:multiLevelType w:val="hybridMultilevel"/>
    <w:tmpl w:val="5232AD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65589A"/>
    <w:multiLevelType w:val="hybridMultilevel"/>
    <w:tmpl w:val="ACA816C2"/>
    <w:lvl w:ilvl="0" w:tplc="9AB6DEA4">
      <w:start w:val="1"/>
      <w:numFmt w:val="bullet"/>
      <w:lvlText w:val=""/>
      <w:lvlJc w:val="left"/>
      <w:pPr>
        <w:ind w:left="720" w:hanging="360"/>
      </w:pPr>
      <w:rPr>
        <w:rFonts w:ascii="Symbol" w:hAnsi="Symbol" w:hint="default"/>
        <w:b/>
        <w:i w:val="0"/>
        <w:color w:val="043956"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D1514A"/>
    <w:multiLevelType w:val="multilevel"/>
    <w:tmpl w:val="621647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9" w15:restartNumberingAfterBreak="0">
    <w:nsid w:val="2BFB785F"/>
    <w:multiLevelType w:val="hybridMultilevel"/>
    <w:tmpl w:val="35044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51662C"/>
    <w:multiLevelType w:val="multilevel"/>
    <w:tmpl w:val="B984AFCA"/>
    <w:numStyleLink w:val="Arrows"/>
  </w:abstractNum>
  <w:abstractNum w:abstractNumId="11" w15:restartNumberingAfterBreak="0">
    <w:nsid w:val="32EA04EF"/>
    <w:multiLevelType w:val="hybridMultilevel"/>
    <w:tmpl w:val="DB9EF262"/>
    <w:lvl w:ilvl="0" w:tplc="F194825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EE3683"/>
    <w:multiLevelType w:val="multilevel"/>
    <w:tmpl w:val="B984AFCA"/>
    <w:numStyleLink w:val="Arrows"/>
  </w:abstractNum>
  <w:abstractNum w:abstractNumId="13" w15:restartNumberingAfterBreak="0">
    <w:nsid w:val="38A673CE"/>
    <w:multiLevelType w:val="multilevel"/>
    <w:tmpl w:val="B984AFCA"/>
    <w:numStyleLink w:val="Arrows"/>
  </w:abstractNum>
  <w:abstractNum w:abstractNumId="14" w15:restartNumberingAfterBreak="0">
    <w:nsid w:val="393E3B49"/>
    <w:multiLevelType w:val="multilevel"/>
    <w:tmpl w:val="B984AFCA"/>
    <w:numStyleLink w:val="Arrows"/>
  </w:abstractNum>
  <w:abstractNum w:abstractNumId="15" w15:restartNumberingAfterBreak="0">
    <w:nsid w:val="3BD17F80"/>
    <w:multiLevelType w:val="hybridMultilevel"/>
    <w:tmpl w:val="56349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4A2FE0"/>
    <w:multiLevelType w:val="multilevel"/>
    <w:tmpl w:val="B984AFCA"/>
    <w:numStyleLink w:val="Arrows"/>
  </w:abstractNum>
  <w:abstractNum w:abstractNumId="17" w15:restartNumberingAfterBreak="0">
    <w:nsid w:val="4602101B"/>
    <w:multiLevelType w:val="hybridMultilevel"/>
    <w:tmpl w:val="2FE02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7B1088"/>
    <w:multiLevelType w:val="multilevel"/>
    <w:tmpl w:val="B984AFCA"/>
    <w:lvl w:ilvl="0">
      <w:start w:val="1"/>
      <w:numFmt w:val="bullet"/>
      <w:lvlText w:val=""/>
      <w:lvlJc w:val="left"/>
      <w:pPr>
        <w:ind w:left="720" w:hanging="363"/>
      </w:pPr>
      <w:rPr>
        <w:rFonts w:ascii="Symbol" w:hAnsi="Symbol" w:hint="default"/>
        <w:b/>
        <w:color w:val="043956" w:themeColor="accent4"/>
      </w:rPr>
    </w:lvl>
    <w:lvl w:ilvl="1">
      <w:start w:val="1"/>
      <w:numFmt w:val="bullet"/>
      <w:lvlText w:val=""/>
      <w:lvlJc w:val="left"/>
      <w:pPr>
        <w:ind w:left="1077" w:hanging="363"/>
      </w:pPr>
      <w:rPr>
        <w:rFonts w:ascii="Symbol" w:hAnsi="Symbol" w:hint="default"/>
        <w:b/>
        <w:color w:val="EB4748" w:themeColor="accent3"/>
      </w:rPr>
    </w:lvl>
    <w:lvl w:ilvl="2">
      <w:start w:val="1"/>
      <w:numFmt w:val="bullet"/>
      <w:lvlText w:val=""/>
      <w:lvlJc w:val="left"/>
      <w:pPr>
        <w:ind w:left="1434" w:hanging="363"/>
      </w:pPr>
      <w:rPr>
        <w:rFonts w:ascii="Symbol" w:hAnsi="Symbol" w:hint="default"/>
        <w:b/>
        <w:color w:val="043956" w:themeColor="accent4"/>
      </w:rPr>
    </w:lvl>
    <w:lvl w:ilvl="3">
      <w:start w:val="1"/>
      <w:numFmt w:val="bullet"/>
      <w:lvlText w:val=""/>
      <w:lvlJc w:val="left"/>
      <w:pPr>
        <w:ind w:left="1791" w:hanging="363"/>
      </w:pPr>
      <w:rPr>
        <w:rFonts w:ascii="Symbol" w:hAnsi="Symbol" w:hint="default"/>
        <w:b/>
        <w:color w:val="EB4748" w:themeColor="accent3"/>
      </w:rPr>
    </w:lvl>
    <w:lvl w:ilvl="4">
      <w:start w:val="1"/>
      <w:numFmt w:val="bullet"/>
      <w:lvlText w:val=""/>
      <w:lvlJc w:val="left"/>
      <w:pPr>
        <w:ind w:left="2148" w:hanging="363"/>
      </w:pPr>
      <w:rPr>
        <w:rFonts w:ascii="Symbol" w:hAnsi="Symbol" w:hint="default"/>
        <w:b/>
        <w:color w:val="043956" w:themeColor="accent4"/>
      </w:rPr>
    </w:lvl>
    <w:lvl w:ilvl="5">
      <w:start w:val="1"/>
      <w:numFmt w:val="bullet"/>
      <w:lvlText w:val=""/>
      <w:lvlJc w:val="left"/>
      <w:pPr>
        <w:ind w:left="2505" w:hanging="363"/>
      </w:pPr>
      <w:rPr>
        <w:rFonts w:ascii="Symbol" w:hAnsi="Symbol" w:hint="default"/>
        <w:b/>
        <w:color w:val="EB4748" w:themeColor="accent3"/>
      </w:rPr>
    </w:lvl>
    <w:lvl w:ilvl="6">
      <w:start w:val="1"/>
      <w:numFmt w:val="bullet"/>
      <w:lvlText w:val=""/>
      <w:lvlJc w:val="left"/>
      <w:pPr>
        <w:ind w:left="2862" w:hanging="363"/>
      </w:pPr>
      <w:rPr>
        <w:rFonts w:ascii="Symbol" w:hAnsi="Symbol" w:hint="default"/>
        <w:b/>
        <w:color w:val="043956" w:themeColor="accent4"/>
      </w:rPr>
    </w:lvl>
    <w:lvl w:ilvl="7">
      <w:start w:val="1"/>
      <w:numFmt w:val="bullet"/>
      <w:lvlText w:val=""/>
      <w:lvlJc w:val="left"/>
      <w:pPr>
        <w:ind w:left="3219" w:hanging="363"/>
      </w:pPr>
      <w:rPr>
        <w:rFonts w:ascii="Symbol" w:hAnsi="Symbol" w:hint="default"/>
        <w:b/>
        <w:color w:val="EB4748" w:themeColor="accent3"/>
      </w:rPr>
    </w:lvl>
    <w:lvl w:ilvl="8">
      <w:start w:val="1"/>
      <w:numFmt w:val="bullet"/>
      <w:lvlText w:val=""/>
      <w:lvlJc w:val="left"/>
      <w:pPr>
        <w:ind w:left="3576" w:hanging="363"/>
      </w:pPr>
      <w:rPr>
        <w:rFonts w:ascii="Symbol" w:hAnsi="Symbol" w:hint="default"/>
        <w:b/>
        <w:color w:val="043956" w:themeColor="accent4"/>
      </w:rPr>
    </w:lvl>
  </w:abstractNum>
  <w:abstractNum w:abstractNumId="19" w15:restartNumberingAfterBreak="0">
    <w:nsid w:val="4EEF73E2"/>
    <w:multiLevelType w:val="hybridMultilevel"/>
    <w:tmpl w:val="C68A42AE"/>
    <w:lvl w:ilvl="0" w:tplc="9AB6DEA4">
      <w:start w:val="1"/>
      <w:numFmt w:val="bullet"/>
      <w:lvlText w:val=""/>
      <w:lvlJc w:val="left"/>
      <w:pPr>
        <w:ind w:left="720" w:hanging="360"/>
      </w:pPr>
      <w:rPr>
        <w:rFonts w:ascii="Symbol" w:hAnsi="Symbol" w:hint="default"/>
        <w:b/>
        <w:i w:val="0"/>
        <w:color w:val="043956"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B54F18"/>
    <w:multiLevelType w:val="multilevel"/>
    <w:tmpl w:val="B984AFCA"/>
    <w:numStyleLink w:val="Arrows"/>
  </w:abstractNum>
  <w:abstractNum w:abstractNumId="21" w15:restartNumberingAfterBreak="0">
    <w:nsid w:val="566061EC"/>
    <w:multiLevelType w:val="multilevel"/>
    <w:tmpl w:val="B984AFCA"/>
    <w:numStyleLink w:val="Arrows"/>
  </w:abstractNum>
  <w:abstractNum w:abstractNumId="22" w15:restartNumberingAfterBreak="0">
    <w:nsid w:val="56A42B5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7F470D1"/>
    <w:multiLevelType w:val="multilevel"/>
    <w:tmpl w:val="B984AFCA"/>
    <w:numStyleLink w:val="Arrows"/>
  </w:abstractNum>
  <w:abstractNum w:abstractNumId="24" w15:restartNumberingAfterBreak="0">
    <w:nsid w:val="586F6802"/>
    <w:multiLevelType w:val="hybridMultilevel"/>
    <w:tmpl w:val="E3A85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91003B"/>
    <w:multiLevelType w:val="hybridMultilevel"/>
    <w:tmpl w:val="F51A7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B111F7"/>
    <w:multiLevelType w:val="hybridMultilevel"/>
    <w:tmpl w:val="C972B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5858DF"/>
    <w:multiLevelType w:val="multilevel"/>
    <w:tmpl w:val="B984AFCA"/>
    <w:numStyleLink w:val="Arrows"/>
  </w:abstractNum>
  <w:abstractNum w:abstractNumId="28" w15:restartNumberingAfterBreak="0">
    <w:nsid w:val="62813D7B"/>
    <w:multiLevelType w:val="multilevel"/>
    <w:tmpl w:val="B984AFCA"/>
    <w:styleLink w:val="Arrows"/>
    <w:lvl w:ilvl="0">
      <w:start w:val="1"/>
      <w:numFmt w:val="bullet"/>
      <w:lvlText w:val=""/>
      <w:lvlJc w:val="left"/>
      <w:pPr>
        <w:ind w:left="720" w:hanging="363"/>
      </w:pPr>
      <w:rPr>
        <w:rFonts w:ascii="Symbol" w:hAnsi="Symbol" w:hint="default"/>
        <w:b/>
        <w:color w:val="043956" w:themeColor="accent4"/>
      </w:rPr>
    </w:lvl>
    <w:lvl w:ilvl="1">
      <w:start w:val="1"/>
      <w:numFmt w:val="bullet"/>
      <w:lvlText w:val=""/>
      <w:lvlJc w:val="left"/>
      <w:pPr>
        <w:ind w:left="1077" w:hanging="363"/>
      </w:pPr>
      <w:rPr>
        <w:rFonts w:ascii="Symbol" w:hAnsi="Symbol" w:hint="default"/>
        <w:b/>
        <w:color w:val="EB4748" w:themeColor="accent3"/>
      </w:rPr>
    </w:lvl>
    <w:lvl w:ilvl="2">
      <w:start w:val="1"/>
      <w:numFmt w:val="bullet"/>
      <w:lvlText w:val=""/>
      <w:lvlJc w:val="left"/>
      <w:pPr>
        <w:ind w:left="1434" w:hanging="363"/>
      </w:pPr>
      <w:rPr>
        <w:rFonts w:ascii="Symbol" w:hAnsi="Symbol" w:hint="default"/>
        <w:b/>
        <w:color w:val="043956" w:themeColor="accent4"/>
      </w:rPr>
    </w:lvl>
    <w:lvl w:ilvl="3">
      <w:start w:val="1"/>
      <w:numFmt w:val="bullet"/>
      <w:lvlText w:val=""/>
      <w:lvlJc w:val="left"/>
      <w:pPr>
        <w:ind w:left="1791" w:hanging="363"/>
      </w:pPr>
      <w:rPr>
        <w:rFonts w:ascii="Symbol" w:hAnsi="Symbol" w:hint="default"/>
        <w:b/>
        <w:color w:val="EB4748" w:themeColor="accent3"/>
      </w:rPr>
    </w:lvl>
    <w:lvl w:ilvl="4">
      <w:start w:val="1"/>
      <w:numFmt w:val="bullet"/>
      <w:lvlText w:val=""/>
      <w:lvlJc w:val="left"/>
      <w:pPr>
        <w:ind w:left="2148" w:hanging="363"/>
      </w:pPr>
      <w:rPr>
        <w:rFonts w:ascii="Symbol" w:hAnsi="Symbol" w:hint="default"/>
        <w:b/>
        <w:color w:val="043956" w:themeColor="accent4"/>
      </w:rPr>
    </w:lvl>
    <w:lvl w:ilvl="5">
      <w:start w:val="1"/>
      <w:numFmt w:val="bullet"/>
      <w:lvlText w:val=""/>
      <w:lvlJc w:val="left"/>
      <w:pPr>
        <w:ind w:left="2505" w:hanging="363"/>
      </w:pPr>
      <w:rPr>
        <w:rFonts w:ascii="Symbol" w:hAnsi="Symbol" w:hint="default"/>
        <w:b/>
        <w:color w:val="EB4748" w:themeColor="accent3"/>
      </w:rPr>
    </w:lvl>
    <w:lvl w:ilvl="6">
      <w:start w:val="1"/>
      <w:numFmt w:val="bullet"/>
      <w:lvlText w:val=""/>
      <w:lvlJc w:val="left"/>
      <w:pPr>
        <w:ind w:left="2862" w:hanging="363"/>
      </w:pPr>
      <w:rPr>
        <w:rFonts w:ascii="Symbol" w:hAnsi="Symbol" w:hint="default"/>
        <w:b/>
        <w:color w:val="043956" w:themeColor="accent4"/>
      </w:rPr>
    </w:lvl>
    <w:lvl w:ilvl="7">
      <w:start w:val="1"/>
      <w:numFmt w:val="bullet"/>
      <w:lvlText w:val=""/>
      <w:lvlJc w:val="left"/>
      <w:pPr>
        <w:ind w:left="3219" w:hanging="363"/>
      </w:pPr>
      <w:rPr>
        <w:rFonts w:ascii="Symbol" w:hAnsi="Symbol" w:hint="default"/>
        <w:b/>
        <w:color w:val="EB4748" w:themeColor="accent3"/>
      </w:rPr>
    </w:lvl>
    <w:lvl w:ilvl="8">
      <w:start w:val="1"/>
      <w:numFmt w:val="bullet"/>
      <w:lvlText w:val=""/>
      <w:lvlJc w:val="left"/>
      <w:pPr>
        <w:ind w:left="3576" w:hanging="363"/>
      </w:pPr>
      <w:rPr>
        <w:rFonts w:ascii="Symbol" w:hAnsi="Symbol" w:hint="default"/>
        <w:b/>
        <w:color w:val="043956" w:themeColor="accent4"/>
      </w:rPr>
    </w:lvl>
  </w:abstractNum>
  <w:abstractNum w:abstractNumId="29" w15:restartNumberingAfterBreak="0">
    <w:nsid w:val="64142795"/>
    <w:multiLevelType w:val="multilevel"/>
    <w:tmpl w:val="B984AFCA"/>
    <w:numStyleLink w:val="Arrows"/>
  </w:abstractNum>
  <w:abstractNum w:abstractNumId="30" w15:restartNumberingAfterBreak="0">
    <w:nsid w:val="67CF4C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90B1DD3"/>
    <w:multiLevelType w:val="multilevel"/>
    <w:tmpl w:val="B984AFCA"/>
    <w:numStyleLink w:val="Arrows"/>
  </w:abstractNum>
  <w:abstractNum w:abstractNumId="32" w15:restartNumberingAfterBreak="0">
    <w:nsid w:val="6D80237B"/>
    <w:multiLevelType w:val="multilevel"/>
    <w:tmpl w:val="B984AFCA"/>
    <w:numStyleLink w:val="Arrows"/>
  </w:abstractNum>
  <w:abstractNum w:abstractNumId="33" w15:restartNumberingAfterBreak="0">
    <w:nsid w:val="701F1E4C"/>
    <w:multiLevelType w:val="multilevel"/>
    <w:tmpl w:val="B984AFCA"/>
    <w:numStyleLink w:val="Arrows"/>
  </w:abstractNum>
  <w:abstractNum w:abstractNumId="34" w15:restartNumberingAfterBreak="0">
    <w:nsid w:val="72060E65"/>
    <w:multiLevelType w:val="multilevel"/>
    <w:tmpl w:val="B984AFCA"/>
    <w:numStyleLink w:val="Arrows"/>
  </w:abstractNum>
  <w:abstractNum w:abstractNumId="35" w15:restartNumberingAfterBreak="0">
    <w:nsid w:val="74E37489"/>
    <w:multiLevelType w:val="multilevel"/>
    <w:tmpl w:val="B984AFCA"/>
    <w:numStyleLink w:val="Arrows"/>
  </w:abstractNum>
  <w:abstractNum w:abstractNumId="36" w15:restartNumberingAfterBreak="0">
    <w:nsid w:val="7E9979FA"/>
    <w:multiLevelType w:val="hybridMultilevel"/>
    <w:tmpl w:val="97AC106E"/>
    <w:lvl w:ilvl="0" w:tplc="F194825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4705030">
    <w:abstractNumId w:val="2"/>
  </w:num>
  <w:num w:numId="2" w16cid:durableId="1889029296">
    <w:abstractNumId w:val="11"/>
  </w:num>
  <w:num w:numId="3" w16cid:durableId="1633444240">
    <w:abstractNumId w:val="22"/>
  </w:num>
  <w:num w:numId="4" w16cid:durableId="1746760922">
    <w:abstractNumId w:val="8"/>
  </w:num>
  <w:num w:numId="5" w16cid:durableId="957876054">
    <w:abstractNumId w:val="3"/>
  </w:num>
  <w:num w:numId="6" w16cid:durableId="1849713813">
    <w:abstractNumId w:val="36"/>
  </w:num>
  <w:num w:numId="7" w16cid:durableId="569272711">
    <w:abstractNumId w:val="30"/>
  </w:num>
  <w:num w:numId="8" w16cid:durableId="1330136663">
    <w:abstractNumId w:val="28"/>
  </w:num>
  <w:num w:numId="9" w16cid:durableId="1833401866">
    <w:abstractNumId w:val="21"/>
  </w:num>
  <w:num w:numId="10" w16cid:durableId="1847861380">
    <w:abstractNumId w:val="31"/>
  </w:num>
  <w:num w:numId="11" w16cid:durableId="1579749011">
    <w:abstractNumId w:val="20"/>
  </w:num>
  <w:num w:numId="12" w16cid:durableId="1684168671">
    <w:abstractNumId w:val="12"/>
  </w:num>
  <w:num w:numId="13" w16cid:durableId="1072314494">
    <w:abstractNumId w:val="34"/>
  </w:num>
  <w:num w:numId="14" w16cid:durableId="2121408118">
    <w:abstractNumId w:val="14"/>
  </w:num>
  <w:num w:numId="15" w16cid:durableId="1455440317">
    <w:abstractNumId w:val="16"/>
  </w:num>
  <w:num w:numId="16" w16cid:durableId="1685588523">
    <w:abstractNumId w:val="23"/>
  </w:num>
  <w:num w:numId="17" w16cid:durableId="18311890">
    <w:abstractNumId w:val="15"/>
  </w:num>
  <w:num w:numId="18" w16cid:durableId="2113670395">
    <w:abstractNumId w:val="13"/>
  </w:num>
  <w:num w:numId="19" w16cid:durableId="280918043">
    <w:abstractNumId w:val="35"/>
  </w:num>
  <w:num w:numId="20" w16cid:durableId="1666126425">
    <w:abstractNumId w:val="7"/>
  </w:num>
  <w:num w:numId="21" w16cid:durableId="1322126201">
    <w:abstractNumId w:val="19"/>
  </w:num>
  <w:num w:numId="22" w16cid:durableId="1919636155">
    <w:abstractNumId w:val="0"/>
  </w:num>
  <w:num w:numId="23" w16cid:durableId="388458690">
    <w:abstractNumId w:val="4"/>
  </w:num>
  <w:num w:numId="24" w16cid:durableId="1722896171">
    <w:abstractNumId w:val="29"/>
  </w:num>
  <w:num w:numId="25" w16cid:durableId="1489201564">
    <w:abstractNumId w:val="26"/>
  </w:num>
  <w:num w:numId="26" w16cid:durableId="1469129091">
    <w:abstractNumId w:val="17"/>
  </w:num>
  <w:num w:numId="27" w16cid:durableId="1150515203">
    <w:abstractNumId w:val="18"/>
  </w:num>
  <w:num w:numId="28" w16cid:durableId="881476637">
    <w:abstractNumId w:val="25"/>
  </w:num>
  <w:num w:numId="29" w16cid:durableId="1405688727">
    <w:abstractNumId w:val="9"/>
  </w:num>
  <w:num w:numId="30" w16cid:durableId="1359240063">
    <w:abstractNumId w:val="32"/>
  </w:num>
  <w:num w:numId="31" w16cid:durableId="1135487652">
    <w:abstractNumId w:val="5"/>
  </w:num>
  <w:num w:numId="32" w16cid:durableId="1034354828">
    <w:abstractNumId w:val="10"/>
  </w:num>
  <w:num w:numId="33" w16cid:durableId="451943771">
    <w:abstractNumId w:val="27"/>
  </w:num>
  <w:num w:numId="34" w16cid:durableId="700712808">
    <w:abstractNumId w:val="24"/>
  </w:num>
  <w:num w:numId="35" w16cid:durableId="415827930">
    <w:abstractNumId w:val="33"/>
  </w:num>
  <w:num w:numId="36" w16cid:durableId="1097287919">
    <w:abstractNumId w:val="1"/>
  </w:num>
  <w:num w:numId="37" w16cid:durableId="10890355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62B"/>
    <w:rsid w:val="00033F8C"/>
    <w:rsid w:val="00047C0D"/>
    <w:rsid w:val="000856AF"/>
    <w:rsid w:val="000E21F5"/>
    <w:rsid w:val="000F5DB3"/>
    <w:rsid w:val="00113E02"/>
    <w:rsid w:val="00136E44"/>
    <w:rsid w:val="00166980"/>
    <w:rsid w:val="00183611"/>
    <w:rsid w:val="001B1326"/>
    <w:rsid w:val="001B3C35"/>
    <w:rsid w:val="001F5D1E"/>
    <w:rsid w:val="0020093F"/>
    <w:rsid w:val="002015C0"/>
    <w:rsid w:val="00216CD7"/>
    <w:rsid w:val="002211E3"/>
    <w:rsid w:val="00234DCA"/>
    <w:rsid w:val="0024761A"/>
    <w:rsid w:val="00252C14"/>
    <w:rsid w:val="00274553"/>
    <w:rsid w:val="00290A81"/>
    <w:rsid w:val="002973CE"/>
    <w:rsid w:val="002B0036"/>
    <w:rsid w:val="002C04A8"/>
    <w:rsid w:val="002D53A6"/>
    <w:rsid w:val="002F60BC"/>
    <w:rsid w:val="0032099C"/>
    <w:rsid w:val="00323472"/>
    <w:rsid w:val="00324991"/>
    <w:rsid w:val="00331F9A"/>
    <w:rsid w:val="00350AB8"/>
    <w:rsid w:val="003522E8"/>
    <w:rsid w:val="003546CD"/>
    <w:rsid w:val="0035581A"/>
    <w:rsid w:val="00360A70"/>
    <w:rsid w:val="003613F9"/>
    <w:rsid w:val="003745D9"/>
    <w:rsid w:val="0039438E"/>
    <w:rsid w:val="003A262B"/>
    <w:rsid w:val="003B0D92"/>
    <w:rsid w:val="003D4137"/>
    <w:rsid w:val="003D4DF7"/>
    <w:rsid w:val="003F137C"/>
    <w:rsid w:val="003F4728"/>
    <w:rsid w:val="004172E4"/>
    <w:rsid w:val="00417BFE"/>
    <w:rsid w:val="0047711B"/>
    <w:rsid w:val="0048336A"/>
    <w:rsid w:val="0049183C"/>
    <w:rsid w:val="004A6FB3"/>
    <w:rsid w:val="004D5420"/>
    <w:rsid w:val="004F30C9"/>
    <w:rsid w:val="004F697B"/>
    <w:rsid w:val="00505218"/>
    <w:rsid w:val="0051100D"/>
    <w:rsid w:val="00514F75"/>
    <w:rsid w:val="00525E26"/>
    <w:rsid w:val="00526F31"/>
    <w:rsid w:val="00533429"/>
    <w:rsid w:val="00585574"/>
    <w:rsid w:val="005C1B9B"/>
    <w:rsid w:val="005C4C59"/>
    <w:rsid w:val="005D107F"/>
    <w:rsid w:val="005D17C0"/>
    <w:rsid w:val="005D768E"/>
    <w:rsid w:val="005F007D"/>
    <w:rsid w:val="006016AC"/>
    <w:rsid w:val="006144F5"/>
    <w:rsid w:val="00617BBE"/>
    <w:rsid w:val="00621B89"/>
    <w:rsid w:val="00630C68"/>
    <w:rsid w:val="00653A1C"/>
    <w:rsid w:val="0066067C"/>
    <w:rsid w:val="00670210"/>
    <w:rsid w:val="00670C8B"/>
    <w:rsid w:val="00696C2C"/>
    <w:rsid w:val="006B3F3E"/>
    <w:rsid w:val="006F581D"/>
    <w:rsid w:val="00710D2B"/>
    <w:rsid w:val="00710FED"/>
    <w:rsid w:val="00711E48"/>
    <w:rsid w:val="00713DA7"/>
    <w:rsid w:val="00720E5D"/>
    <w:rsid w:val="007247AD"/>
    <w:rsid w:val="007354E4"/>
    <w:rsid w:val="00744FC6"/>
    <w:rsid w:val="007671CD"/>
    <w:rsid w:val="00772958"/>
    <w:rsid w:val="00775F81"/>
    <w:rsid w:val="007A03E1"/>
    <w:rsid w:val="007B388A"/>
    <w:rsid w:val="007D0C20"/>
    <w:rsid w:val="0082662B"/>
    <w:rsid w:val="00830AEB"/>
    <w:rsid w:val="00842033"/>
    <w:rsid w:val="00853CDE"/>
    <w:rsid w:val="00872D71"/>
    <w:rsid w:val="008742B0"/>
    <w:rsid w:val="008863AC"/>
    <w:rsid w:val="008A2BB0"/>
    <w:rsid w:val="008A363F"/>
    <w:rsid w:val="008B2879"/>
    <w:rsid w:val="008B35EA"/>
    <w:rsid w:val="008B578F"/>
    <w:rsid w:val="009031DE"/>
    <w:rsid w:val="0090708E"/>
    <w:rsid w:val="00990794"/>
    <w:rsid w:val="009A47A8"/>
    <w:rsid w:val="009A6373"/>
    <w:rsid w:val="009A7025"/>
    <w:rsid w:val="009B5CA2"/>
    <w:rsid w:val="009C25D9"/>
    <w:rsid w:val="009D388C"/>
    <w:rsid w:val="009F071E"/>
    <w:rsid w:val="009F294A"/>
    <w:rsid w:val="009F3DC7"/>
    <w:rsid w:val="00A32164"/>
    <w:rsid w:val="00A510F8"/>
    <w:rsid w:val="00A54F94"/>
    <w:rsid w:val="00A57229"/>
    <w:rsid w:val="00A6045E"/>
    <w:rsid w:val="00A9302F"/>
    <w:rsid w:val="00AA518A"/>
    <w:rsid w:val="00AD7918"/>
    <w:rsid w:val="00AE5FA8"/>
    <w:rsid w:val="00AE6E9C"/>
    <w:rsid w:val="00AF0D03"/>
    <w:rsid w:val="00AF53B7"/>
    <w:rsid w:val="00B47CD8"/>
    <w:rsid w:val="00B71A1C"/>
    <w:rsid w:val="00B7589B"/>
    <w:rsid w:val="00B75D51"/>
    <w:rsid w:val="00BA2C37"/>
    <w:rsid w:val="00BB28CF"/>
    <w:rsid w:val="00BB3EF4"/>
    <w:rsid w:val="00BD2ECF"/>
    <w:rsid w:val="00BF183D"/>
    <w:rsid w:val="00C03E65"/>
    <w:rsid w:val="00C557E8"/>
    <w:rsid w:val="00C739CE"/>
    <w:rsid w:val="00C77DA6"/>
    <w:rsid w:val="00D216E4"/>
    <w:rsid w:val="00D223EC"/>
    <w:rsid w:val="00D34E1A"/>
    <w:rsid w:val="00D62CA2"/>
    <w:rsid w:val="00D67049"/>
    <w:rsid w:val="00D83F5D"/>
    <w:rsid w:val="00D849C2"/>
    <w:rsid w:val="00D86F0D"/>
    <w:rsid w:val="00DC37A4"/>
    <w:rsid w:val="00DC3E0F"/>
    <w:rsid w:val="00DD2BD4"/>
    <w:rsid w:val="00DE1D17"/>
    <w:rsid w:val="00DE5D5E"/>
    <w:rsid w:val="00DE6658"/>
    <w:rsid w:val="00E1698D"/>
    <w:rsid w:val="00E31E9B"/>
    <w:rsid w:val="00E3428F"/>
    <w:rsid w:val="00E60B03"/>
    <w:rsid w:val="00E66D57"/>
    <w:rsid w:val="00E84558"/>
    <w:rsid w:val="00E94C5B"/>
    <w:rsid w:val="00EA2E4C"/>
    <w:rsid w:val="00EB312D"/>
    <w:rsid w:val="00ED2AFD"/>
    <w:rsid w:val="00EF5FFC"/>
    <w:rsid w:val="00F22749"/>
    <w:rsid w:val="00F52E54"/>
    <w:rsid w:val="00F83F6B"/>
    <w:rsid w:val="00F879A1"/>
    <w:rsid w:val="00F922D4"/>
    <w:rsid w:val="00FA6FB5"/>
    <w:rsid w:val="00FD51B4"/>
    <w:rsid w:val="00FE2C63"/>
    <w:rsid w:val="00FE6AC3"/>
    <w:rsid w:val="00FF47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AC035"/>
  <w15:chartTrackingRefBased/>
  <w15:docId w15:val="{4152E22E-4460-4582-9F9D-474468CE3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EF4"/>
    <w:rPr>
      <w:rFonts w:ascii="Verdana" w:hAnsi="Verdana"/>
      <w:sz w:val="22"/>
    </w:rPr>
  </w:style>
  <w:style w:type="paragraph" w:styleId="Heading1">
    <w:name w:val="heading 1"/>
    <w:basedOn w:val="Normal"/>
    <w:next w:val="Normal"/>
    <w:link w:val="Heading1Char"/>
    <w:uiPriority w:val="9"/>
    <w:qFormat/>
    <w:rsid w:val="008A363F"/>
    <w:pPr>
      <w:keepNext/>
      <w:keepLines/>
      <w:spacing w:before="360" w:after="80"/>
      <w:outlineLvl w:val="0"/>
    </w:pPr>
    <w:rPr>
      <w:rFonts w:eastAsiaTheme="majorEastAsia" w:cstheme="majorBidi"/>
      <w:b/>
      <w:color w:val="043956" w:themeColor="accent2"/>
      <w:sz w:val="32"/>
      <w:szCs w:val="40"/>
    </w:rPr>
  </w:style>
  <w:style w:type="paragraph" w:styleId="Heading2">
    <w:name w:val="heading 2"/>
    <w:basedOn w:val="Normal"/>
    <w:next w:val="Normal"/>
    <w:link w:val="Heading2Char"/>
    <w:uiPriority w:val="9"/>
    <w:unhideWhenUsed/>
    <w:qFormat/>
    <w:rsid w:val="008A363F"/>
    <w:pPr>
      <w:keepNext/>
      <w:keepLines/>
      <w:spacing w:before="160" w:after="80"/>
      <w:outlineLvl w:val="1"/>
    </w:pPr>
    <w:rPr>
      <w:rFonts w:eastAsiaTheme="majorEastAsia" w:cstheme="majorBidi"/>
      <w:b/>
      <w:color w:val="043956" w:themeColor="accent2"/>
      <w:sz w:val="28"/>
      <w:szCs w:val="32"/>
    </w:rPr>
  </w:style>
  <w:style w:type="paragraph" w:styleId="Heading3">
    <w:name w:val="heading 3"/>
    <w:basedOn w:val="Normal"/>
    <w:next w:val="Normal"/>
    <w:link w:val="Heading3Char"/>
    <w:uiPriority w:val="9"/>
    <w:unhideWhenUsed/>
    <w:qFormat/>
    <w:rsid w:val="00FA6FB5"/>
    <w:pPr>
      <w:keepNext/>
      <w:keepLines/>
      <w:spacing w:before="160" w:after="80"/>
      <w:outlineLvl w:val="2"/>
    </w:pPr>
    <w:rPr>
      <w:rFonts w:eastAsiaTheme="majorEastAsia" w:cstheme="majorBidi"/>
      <w:b/>
      <w:color w:val="043956" w:themeColor="accent2"/>
      <w:sz w:val="24"/>
      <w:szCs w:val="28"/>
    </w:rPr>
  </w:style>
  <w:style w:type="paragraph" w:styleId="Heading4">
    <w:name w:val="heading 4"/>
    <w:basedOn w:val="Normal"/>
    <w:next w:val="Normal"/>
    <w:link w:val="Heading4Char"/>
    <w:uiPriority w:val="9"/>
    <w:semiHidden/>
    <w:unhideWhenUsed/>
    <w:rsid w:val="000856AF"/>
    <w:pPr>
      <w:keepNext/>
      <w:keepLines/>
      <w:spacing w:before="80" w:after="40"/>
      <w:outlineLvl w:val="3"/>
    </w:pPr>
    <w:rPr>
      <w:rFonts w:eastAsiaTheme="majorEastAsia" w:cstheme="majorBidi"/>
      <w:b/>
      <w:i/>
      <w:iCs/>
      <w:color w:val="043956" w:themeColor="accent2"/>
    </w:rPr>
  </w:style>
  <w:style w:type="paragraph" w:styleId="Heading5">
    <w:name w:val="heading 5"/>
    <w:basedOn w:val="Normal"/>
    <w:next w:val="Normal"/>
    <w:link w:val="Heading5Char"/>
    <w:uiPriority w:val="9"/>
    <w:semiHidden/>
    <w:unhideWhenUsed/>
    <w:qFormat/>
    <w:rsid w:val="00FE2C63"/>
    <w:pPr>
      <w:keepNext/>
      <w:keepLines/>
      <w:spacing w:before="80" w:after="40"/>
      <w:outlineLvl w:val="4"/>
    </w:pPr>
    <w:rPr>
      <w:rFonts w:eastAsiaTheme="majorEastAsia" w:cstheme="majorBidi"/>
      <w:color w:val="000000" w:themeColor="accent1" w:themeShade="BF"/>
    </w:rPr>
  </w:style>
  <w:style w:type="paragraph" w:styleId="Heading6">
    <w:name w:val="heading 6"/>
    <w:basedOn w:val="Normal"/>
    <w:next w:val="Normal"/>
    <w:link w:val="Heading6Char"/>
    <w:uiPriority w:val="9"/>
    <w:semiHidden/>
    <w:unhideWhenUsed/>
    <w:qFormat/>
    <w:rsid w:val="00FE2C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C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C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C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63F"/>
    <w:rPr>
      <w:rFonts w:ascii="Verdana" w:eastAsiaTheme="majorEastAsia" w:hAnsi="Verdana" w:cstheme="majorBidi"/>
      <w:b/>
      <w:color w:val="043956" w:themeColor="accent2"/>
      <w:sz w:val="32"/>
      <w:szCs w:val="40"/>
    </w:rPr>
  </w:style>
  <w:style w:type="character" w:customStyle="1" w:styleId="Heading2Char">
    <w:name w:val="Heading 2 Char"/>
    <w:basedOn w:val="DefaultParagraphFont"/>
    <w:link w:val="Heading2"/>
    <w:uiPriority w:val="9"/>
    <w:rsid w:val="008A363F"/>
    <w:rPr>
      <w:rFonts w:ascii="Verdana" w:eastAsiaTheme="majorEastAsia" w:hAnsi="Verdana" w:cstheme="majorBidi"/>
      <w:b/>
      <w:color w:val="043956" w:themeColor="accent2"/>
      <w:sz w:val="28"/>
      <w:szCs w:val="32"/>
    </w:rPr>
  </w:style>
  <w:style w:type="character" w:customStyle="1" w:styleId="Heading3Char">
    <w:name w:val="Heading 3 Char"/>
    <w:basedOn w:val="DefaultParagraphFont"/>
    <w:link w:val="Heading3"/>
    <w:uiPriority w:val="9"/>
    <w:rsid w:val="00FA6FB5"/>
    <w:rPr>
      <w:rFonts w:ascii="Verdana" w:eastAsiaTheme="majorEastAsia" w:hAnsi="Verdana" w:cstheme="majorBidi"/>
      <w:b/>
      <w:color w:val="043956" w:themeColor="accent2"/>
      <w:szCs w:val="28"/>
    </w:rPr>
  </w:style>
  <w:style w:type="character" w:customStyle="1" w:styleId="Heading4Char">
    <w:name w:val="Heading 4 Char"/>
    <w:basedOn w:val="DefaultParagraphFont"/>
    <w:link w:val="Heading4"/>
    <w:uiPriority w:val="9"/>
    <w:semiHidden/>
    <w:rsid w:val="000856AF"/>
    <w:rPr>
      <w:rFonts w:ascii="Verdana" w:eastAsiaTheme="majorEastAsia" w:hAnsi="Verdana" w:cstheme="majorBidi"/>
      <w:b/>
      <w:i/>
      <w:iCs/>
      <w:color w:val="043956" w:themeColor="accent2"/>
      <w:sz w:val="22"/>
    </w:rPr>
  </w:style>
  <w:style w:type="character" w:customStyle="1" w:styleId="Heading5Char">
    <w:name w:val="Heading 5 Char"/>
    <w:basedOn w:val="DefaultParagraphFont"/>
    <w:link w:val="Heading5"/>
    <w:uiPriority w:val="9"/>
    <w:semiHidden/>
    <w:rsid w:val="00FE2C63"/>
    <w:rPr>
      <w:rFonts w:eastAsiaTheme="majorEastAsia" w:cstheme="majorBidi"/>
      <w:color w:val="000000" w:themeColor="accent1" w:themeShade="BF"/>
    </w:rPr>
  </w:style>
  <w:style w:type="character" w:customStyle="1" w:styleId="Heading6Char">
    <w:name w:val="Heading 6 Char"/>
    <w:basedOn w:val="DefaultParagraphFont"/>
    <w:link w:val="Heading6"/>
    <w:uiPriority w:val="9"/>
    <w:semiHidden/>
    <w:rsid w:val="00FE2C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C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C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C63"/>
    <w:rPr>
      <w:rFonts w:eastAsiaTheme="majorEastAsia" w:cstheme="majorBidi"/>
      <w:color w:val="272727" w:themeColor="text1" w:themeTint="D8"/>
    </w:rPr>
  </w:style>
  <w:style w:type="paragraph" w:styleId="Title">
    <w:name w:val="Title"/>
    <w:basedOn w:val="Normal"/>
    <w:next w:val="Normal"/>
    <w:link w:val="TitleChar"/>
    <w:uiPriority w:val="10"/>
    <w:qFormat/>
    <w:rsid w:val="005D107F"/>
    <w:pPr>
      <w:spacing w:after="80"/>
      <w:contextualSpacing/>
    </w:pPr>
    <w:rPr>
      <w:rFonts w:eastAsiaTheme="majorEastAsia" w:cstheme="majorBidi"/>
      <w:b/>
      <w:color w:val="043956" w:themeColor="accent2"/>
      <w:spacing w:val="-10"/>
      <w:kern w:val="28"/>
      <w:sz w:val="56"/>
      <w:szCs w:val="56"/>
    </w:rPr>
  </w:style>
  <w:style w:type="character" w:customStyle="1" w:styleId="TitleChar">
    <w:name w:val="Title Char"/>
    <w:basedOn w:val="DefaultParagraphFont"/>
    <w:link w:val="Title"/>
    <w:uiPriority w:val="10"/>
    <w:rsid w:val="005D107F"/>
    <w:rPr>
      <w:rFonts w:ascii="Verdana" w:eastAsiaTheme="majorEastAsia" w:hAnsi="Verdana" w:cstheme="majorBidi"/>
      <w:b/>
      <w:color w:val="043956" w:themeColor="accent2"/>
      <w:spacing w:val="-10"/>
      <w:kern w:val="28"/>
      <w:sz w:val="56"/>
      <w:szCs w:val="56"/>
    </w:rPr>
  </w:style>
  <w:style w:type="paragraph" w:styleId="Subtitle">
    <w:name w:val="Subtitle"/>
    <w:basedOn w:val="Normal"/>
    <w:next w:val="Normal"/>
    <w:link w:val="SubtitleChar"/>
    <w:autoRedefine/>
    <w:uiPriority w:val="11"/>
    <w:qFormat/>
    <w:rsid w:val="00D62CA2"/>
    <w:rPr>
      <w:rFonts w:eastAsiaTheme="majorEastAsia" w:cstheme="majorBidi"/>
      <w:b/>
      <w:color w:val="EB4748" w:themeColor="accent6"/>
      <w:spacing w:val="15"/>
      <w:sz w:val="40"/>
      <w:szCs w:val="28"/>
    </w:rPr>
  </w:style>
  <w:style w:type="character" w:customStyle="1" w:styleId="SubtitleChar">
    <w:name w:val="Subtitle Char"/>
    <w:basedOn w:val="DefaultParagraphFont"/>
    <w:link w:val="Subtitle"/>
    <w:uiPriority w:val="11"/>
    <w:rsid w:val="00D62CA2"/>
    <w:rPr>
      <w:rFonts w:ascii="Verdana" w:eastAsiaTheme="majorEastAsia" w:hAnsi="Verdana" w:cstheme="majorBidi"/>
      <w:b/>
      <w:color w:val="EB4748" w:themeColor="accent6"/>
      <w:spacing w:val="15"/>
      <w:sz w:val="40"/>
      <w:szCs w:val="28"/>
    </w:rPr>
  </w:style>
  <w:style w:type="paragraph" w:styleId="Quote">
    <w:name w:val="Quote"/>
    <w:basedOn w:val="Normal"/>
    <w:next w:val="Normal"/>
    <w:link w:val="QuoteChar"/>
    <w:uiPriority w:val="29"/>
    <w:qFormat/>
    <w:rsid w:val="00113E02"/>
    <w:pPr>
      <w:spacing w:before="200"/>
      <w:ind w:left="862" w:right="862"/>
    </w:pPr>
    <w:rPr>
      <w:i/>
      <w:iCs/>
      <w:color w:val="043956" w:themeColor="accent4"/>
    </w:rPr>
  </w:style>
  <w:style w:type="character" w:customStyle="1" w:styleId="QuoteChar">
    <w:name w:val="Quote Char"/>
    <w:basedOn w:val="DefaultParagraphFont"/>
    <w:link w:val="Quote"/>
    <w:uiPriority w:val="29"/>
    <w:rsid w:val="00113E02"/>
    <w:rPr>
      <w:rFonts w:ascii="Verdana" w:hAnsi="Verdana"/>
      <w:i/>
      <w:iCs/>
      <w:color w:val="043956" w:themeColor="accent4"/>
      <w:sz w:val="22"/>
    </w:rPr>
  </w:style>
  <w:style w:type="paragraph" w:styleId="ListParagraph">
    <w:name w:val="List Paragraph"/>
    <w:basedOn w:val="Normal"/>
    <w:uiPriority w:val="34"/>
    <w:qFormat/>
    <w:rsid w:val="00FE2C63"/>
    <w:pPr>
      <w:ind w:left="720"/>
      <w:contextualSpacing/>
    </w:pPr>
  </w:style>
  <w:style w:type="character" w:styleId="IntenseEmphasis">
    <w:name w:val="Intense Emphasis"/>
    <w:basedOn w:val="DefaultParagraphFont"/>
    <w:uiPriority w:val="21"/>
    <w:qFormat/>
    <w:rsid w:val="00FE2C63"/>
    <w:rPr>
      <w:i/>
      <w:iCs/>
      <w:color w:val="000000" w:themeColor="accent1" w:themeShade="BF"/>
    </w:rPr>
  </w:style>
  <w:style w:type="paragraph" w:styleId="IntenseQuote">
    <w:name w:val="Intense Quote"/>
    <w:basedOn w:val="Normal"/>
    <w:next w:val="Normal"/>
    <w:link w:val="IntenseQuoteChar"/>
    <w:uiPriority w:val="30"/>
    <w:qFormat/>
    <w:rsid w:val="00FE2C63"/>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IntenseQuoteChar">
    <w:name w:val="Intense Quote Char"/>
    <w:basedOn w:val="DefaultParagraphFont"/>
    <w:link w:val="IntenseQuote"/>
    <w:uiPriority w:val="30"/>
    <w:rsid w:val="00FE2C63"/>
    <w:rPr>
      <w:i/>
      <w:iCs/>
      <w:color w:val="000000" w:themeColor="accent1" w:themeShade="BF"/>
    </w:rPr>
  </w:style>
  <w:style w:type="character" w:styleId="IntenseReference">
    <w:name w:val="Intense Reference"/>
    <w:basedOn w:val="DefaultParagraphFont"/>
    <w:uiPriority w:val="32"/>
    <w:qFormat/>
    <w:rsid w:val="00FE2C63"/>
    <w:rPr>
      <w:b/>
      <w:bCs/>
      <w:smallCaps/>
      <w:color w:val="000000" w:themeColor="accent1" w:themeShade="BF"/>
      <w:spacing w:val="5"/>
    </w:rPr>
  </w:style>
  <w:style w:type="paragraph" w:styleId="Header">
    <w:name w:val="header"/>
    <w:basedOn w:val="Normal"/>
    <w:link w:val="HeaderChar"/>
    <w:uiPriority w:val="99"/>
    <w:unhideWhenUsed/>
    <w:rsid w:val="00C03E65"/>
    <w:pPr>
      <w:tabs>
        <w:tab w:val="center" w:pos="4513"/>
        <w:tab w:val="right" w:pos="9026"/>
      </w:tabs>
    </w:pPr>
  </w:style>
  <w:style w:type="character" w:customStyle="1" w:styleId="HeaderChar">
    <w:name w:val="Header Char"/>
    <w:basedOn w:val="DefaultParagraphFont"/>
    <w:link w:val="Header"/>
    <w:uiPriority w:val="99"/>
    <w:rsid w:val="00C03E65"/>
  </w:style>
  <w:style w:type="paragraph" w:styleId="Footer">
    <w:name w:val="footer"/>
    <w:basedOn w:val="Normal"/>
    <w:link w:val="FooterChar"/>
    <w:uiPriority w:val="99"/>
    <w:unhideWhenUsed/>
    <w:rsid w:val="00C03E65"/>
    <w:pPr>
      <w:tabs>
        <w:tab w:val="center" w:pos="4513"/>
        <w:tab w:val="right" w:pos="9026"/>
      </w:tabs>
    </w:pPr>
  </w:style>
  <w:style w:type="character" w:customStyle="1" w:styleId="FooterChar">
    <w:name w:val="Footer Char"/>
    <w:basedOn w:val="DefaultParagraphFont"/>
    <w:link w:val="Footer"/>
    <w:uiPriority w:val="99"/>
    <w:rsid w:val="00C03E65"/>
  </w:style>
  <w:style w:type="numbering" w:customStyle="1" w:styleId="Arrows">
    <w:name w:val="Arrows"/>
    <w:uiPriority w:val="99"/>
    <w:rsid w:val="00F52E54"/>
    <w:pPr>
      <w:numPr>
        <w:numId w:val="8"/>
      </w:numPr>
    </w:pPr>
  </w:style>
  <w:style w:type="paragraph" w:styleId="NoSpacing">
    <w:name w:val="No Spacing"/>
    <w:uiPriority w:val="1"/>
    <w:qFormat/>
    <w:rsid w:val="008B35EA"/>
    <w:rPr>
      <w:rFonts w:ascii="Verdana" w:hAnsi="Verdana"/>
      <w:sz w:val="22"/>
    </w:rPr>
  </w:style>
  <w:style w:type="table" w:styleId="TableGrid">
    <w:name w:val="Table Grid"/>
    <w:basedOn w:val="TableNormal"/>
    <w:uiPriority w:val="39"/>
    <w:rsid w:val="008A3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8A363F"/>
    <w:tblPr>
      <w:tblStyleRowBandSize w:val="1"/>
      <w:tblStyleColBandSize w:val="1"/>
      <w:tblBorders>
        <w:top w:val="single" w:sz="4" w:space="0" w:color="0EA1F3" w:themeColor="accent4" w:themeTint="99"/>
        <w:left w:val="single" w:sz="4" w:space="0" w:color="0EA1F3" w:themeColor="accent4" w:themeTint="99"/>
        <w:bottom w:val="single" w:sz="4" w:space="0" w:color="0EA1F3" w:themeColor="accent4" w:themeTint="99"/>
        <w:right w:val="single" w:sz="4" w:space="0" w:color="0EA1F3" w:themeColor="accent4" w:themeTint="99"/>
        <w:insideH w:val="single" w:sz="4" w:space="0" w:color="0EA1F3" w:themeColor="accent4" w:themeTint="99"/>
        <w:insideV w:val="single" w:sz="4" w:space="0" w:color="0EA1F3" w:themeColor="accent4" w:themeTint="99"/>
      </w:tblBorders>
    </w:tblPr>
    <w:tblStylePr w:type="firstRow">
      <w:rPr>
        <w:b/>
        <w:bCs/>
        <w:color w:val="FFFFFF" w:themeColor="background1"/>
      </w:rPr>
      <w:tblPr/>
      <w:tcPr>
        <w:tcBorders>
          <w:top w:val="single" w:sz="4" w:space="0" w:color="043956" w:themeColor="accent4"/>
          <w:left w:val="single" w:sz="4" w:space="0" w:color="043956" w:themeColor="accent4"/>
          <w:bottom w:val="single" w:sz="4" w:space="0" w:color="043956" w:themeColor="accent4"/>
          <w:right w:val="single" w:sz="4" w:space="0" w:color="043956" w:themeColor="accent4"/>
          <w:insideH w:val="nil"/>
          <w:insideV w:val="nil"/>
        </w:tcBorders>
        <w:shd w:val="clear" w:color="auto" w:fill="043956" w:themeFill="accent4"/>
      </w:tcPr>
    </w:tblStylePr>
    <w:tblStylePr w:type="lastRow">
      <w:rPr>
        <w:b/>
        <w:bCs/>
      </w:rPr>
      <w:tblPr/>
      <w:tcPr>
        <w:tcBorders>
          <w:top w:val="double" w:sz="4" w:space="0" w:color="043956" w:themeColor="accent4"/>
        </w:tcBorders>
      </w:tcPr>
    </w:tblStylePr>
    <w:tblStylePr w:type="firstCol">
      <w:rPr>
        <w:b/>
        <w:bCs/>
      </w:rPr>
    </w:tblStylePr>
    <w:tblStylePr w:type="lastCol">
      <w:rPr>
        <w:b/>
        <w:bCs/>
      </w:rPr>
    </w:tblStylePr>
    <w:tblStylePr w:type="band1Vert">
      <w:tblPr/>
      <w:tcPr>
        <w:shd w:val="clear" w:color="auto" w:fill="AEDFFB" w:themeFill="accent4" w:themeFillTint="33"/>
      </w:tcPr>
    </w:tblStylePr>
    <w:tblStylePr w:type="band1Horz">
      <w:tblPr/>
      <w:tcPr>
        <w:shd w:val="clear" w:color="auto" w:fill="AEDFFB" w:themeFill="accent4" w:themeFillTint="33"/>
      </w:tcPr>
    </w:tblStylePr>
  </w:style>
  <w:style w:type="table" w:styleId="GridTable1Light-Accent6">
    <w:name w:val="Grid Table 1 Light Accent 6"/>
    <w:basedOn w:val="TableNormal"/>
    <w:uiPriority w:val="46"/>
    <w:rsid w:val="00FA6FB5"/>
    <w:tblPr>
      <w:tblStyleRowBandSize w:val="1"/>
      <w:tblStyleColBandSize w:val="1"/>
      <w:tblBorders>
        <w:top w:val="single" w:sz="4" w:space="0" w:color="F7B5B5" w:themeColor="accent6" w:themeTint="66"/>
        <w:left w:val="single" w:sz="4" w:space="0" w:color="F7B5B5" w:themeColor="accent6" w:themeTint="66"/>
        <w:bottom w:val="single" w:sz="4" w:space="0" w:color="F7B5B5" w:themeColor="accent6" w:themeTint="66"/>
        <w:right w:val="single" w:sz="4" w:space="0" w:color="F7B5B5" w:themeColor="accent6" w:themeTint="66"/>
        <w:insideH w:val="single" w:sz="4" w:space="0" w:color="F7B5B5" w:themeColor="accent6" w:themeTint="66"/>
        <w:insideV w:val="single" w:sz="4" w:space="0" w:color="F7B5B5" w:themeColor="accent6" w:themeTint="66"/>
      </w:tblBorders>
    </w:tblPr>
    <w:tblStylePr w:type="firstRow">
      <w:rPr>
        <w:b/>
        <w:bCs/>
      </w:rPr>
      <w:tblPr/>
      <w:tcPr>
        <w:tcBorders>
          <w:bottom w:val="single" w:sz="12" w:space="0" w:color="F39090" w:themeColor="accent6" w:themeTint="99"/>
        </w:tcBorders>
      </w:tcPr>
    </w:tblStylePr>
    <w:tblStylePr w:type="lastRow">
      <w:rPr>
        <w:b/>
        <w:bCs/>
      </w:rPr>
      <w:tblPr/>
      <w:tcPr>
        <w:tcBorders>
          <w:top w:val="double" w:sz="2" w:space="0" w:color="F39090" w:themeColor="accent6"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FA6FB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
    <w:name w:val="List Table 4"/>
    <w:basedOn w:val="TableNormal"/>
    <w:uiPriority w:val="49"/>
    <w:rsid w:val="00FA6FB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6">
    <w:name w:val="List Table 7 Colorful Accent 6"/>
    <w:basedOn w:val="TableNormal"/>
    <w:uiPriority w:val="52"/>
    <w:rsid w:val="00FA6FB5"/>
    <w:rPr>
      <w:color w:val="CE161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474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474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474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4748" w:themeColor="accent6"/>
        </w:tcBorders>
        <w:shd w:val="clear" w:color="auto" w:fill="FFFFFF" w:themeFill="background1"/>
      </w:tcPr>
    </w:tblStylePr>
    <w:tblStylePr w:type="band1Vert">
      <w:tblPr/>
      <w:tcPr>
        <w:shd w:val="clear" w:color="auto" w:fill="FBDADA" w:themeFill="accent6" w:themeFillTint="33"/>
      </w:tcPr>
    </w:tblStylePr>
    <w:tblStylePr w:type="band1Horz">
      <w:tblPr/>
      <w:tcPr>
        <w:shd w:val="clear" w:color="auto" w:fill="FBDAD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6">
    <w:name w:val="List Table 5 Dark Accent 6"/>
    <w:basedOn w:val="TableNormal"/>
    <w:uiPriority w:val="50"/>
    <w:rsid w:val="00FA6FB5"/>
    <w:rPr>
      <w:color w:val="FFFFFF" w:themeColor="background1"/>
    </w:rPr>
    <w:tblPr>
      <w:tblStyleRowBandSize w:val="1"/>
      <w:tblStyleColBandSize w:val="1"/>
      <w:tblBorders>
        <w:top w:val="single" w:sz="24" w:space="0" w:color="EB4748" w:themeColor="accent6"/>
        <w:left w:val="single" w:sz="24" w:space="0" w:color="EB4748" w:themeColor="accent6"/>
        <w:bottom w:val="single" w:sz="24" w:space="0" w:color="EB4748" w:themeColor="accent6"/>
        <w:right w:val="single" w:sz="24" w:space="0" w:color="EB4748" w:themeColor="accent6"/>
      </w:tblBorders>
    </w:tblPr>
    <w:tcPr>
      <w:shd w:val="clear" w:color="auto" w:fill="EB474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TOCHeading">
    <w:name w:val="TOC Heading"/>
    <w:basedOn w:val="Heading1"/>
    <w:next w:val="Normal"/>
    <w:uiPriority w:val="39"/>
    <w:unhideWhenUsed/>
    <w:qFormat/>
    <w:rsid w:val="00FF47F5"/>
    <w:pPr>
      <w:spacing w:before="240" w:after="0" w:line="259" w:lineRule="auto"/>
      <w:outlineLvl w:val="9"/>
    </w:pPr>
    <w:rPr>
      <w:kern w:val="0"/>
      <w:szCs w:val="32"/>
      <w:lang w:val="en-US"/>
      <w14:ligatures w14:val="none"/>
    </w:rPr>
  </w:style>
  <w:style w:type="paragraph" w:styleId="TOC1">
    <w:name w:val="toc 1"/>
    <w:basedOn w:val="Normal"/>
    <w:next w:val="Normal"/>
    <w:autoRedefine/>
    <w:uiPriority w:val="39"/>
    <w:unhideWhenUsed/>
    <w:rsid w:val="00526F31"/>
    <w:pPr>
      <w:spacing w:after="100"/>
    </w:pPr>
  </w:style>
  <w:style w:type="paragraph" w:styleId="TOC2">
    <w:name w:val="toc 2"/>
    <w:basedOn w:val="Normal"/>
    <w:next w:val="Normal"/>
    <w:autoRedefine/>
    <w:uiPriority w:val="39"/>
    <w:unhideWhenUsed/>
    <w:rsid w:val="00526F31"/>
    <w:pPr>
      <w:spacing w:after="100"/>
      <w:ind w:left="220"/>
    </w:pPr>
  </w:style>
  <w:style w:type="character" w:styleId="Hyperlink">
    <w:name w:val="Hyperlink"/>
    <w:basedOn w:val="DefaultParagraphFont"/>
    <w:uiPriority w:val="99"/>
    <w:unhideWhenUsed/>
    <w:rsid w:val="00526F31"/>
    <w:rPr>
      <w:color w:val="043956" w:themeColor="hyperlink"/>
      <w:u w:val="single"/>
    </w:rPr>
  </w:style>
  <w:style w:type="character" w:styleId="PlaceholderText">
    <w:name w:val="Placeholder Text"/>
    <w:basedOn w:val="DefaultParagraphFont"/>
    <w:uiPriority w:val="99"/>
    <w:semiHidden/>
    <w:rsid w:val="00D86F0D"/>
    <w:rPr>
      <w:color w:val="666666"/>
    </w:rPr>
  </w:style>
  <w:style w:type="table" w:styleId="GridTable4-Accent2">
    <w:name w:val="Grid Table 4 Accent 2"/>
    <w:basedOn w:val="TableNormal"/>
    <w:uiPriority w:val="49"/>
    <w:rsid w:val="005F007D"/>
    <w:tblPr>
      <w:tblStyleRowBandSize w:val="1"/>
      <w:tblStyleColBandSize w:val="1"/>
      <w:tblBorders>
        <w:top w:val="single" w:sz="4" w:space="0" w:color="0EA1F3" w:themeColor="accent2" w:themeTint="99"/>
        <w:left w:val="single" w:sz="4" w:space="0" w:color="0EA1F3" w:themeColor="accent2" w:themeTint="99"/>
        <w:bottom w:val="single" w:sz="4" w:space="0" w:color="0EA1F3" w:themeColor="accent2" w:themeTint="99"/>
        <w:right w:val="single" w:sz="4" w:space="0" w:color="0EA1F3" w:themeColor="accent2" w:themeTint="99"/>
        <w:insideH w:val="single" w:sz="4" w:space="0" w:color="0EA1F3" w:themeColor="accent2" w:themeTint="99"/>
        <w:insideV w:val="single" w:sz="4" w:space="0" w:color="0EA1F3" w:themeColor="accent2" w:themeTint="99"/>
      </w:tblBorders>
    </w:tblPr>
    <w:tblStylePr w:type="firstRow">
      <w:rPr>
        <w:b/>
        <w:bCs/>
        <w:color w:val="FFFFFF" w:themeColor="background1"/>
      </w:rPr>
      <w:tblPr/>
      <w:tcPr>
        <w:tcBorders>
          <w:top w:val="single" w:sz="4" w:space="0" w:color="043956" w:themeColor="accent2"/>
          <w:left w:val="single" w:sz="4" w:space="0" w:color="043956" w:themeColor="accent2"/>
          <w:bottom w:val="single" w:sz="4" w:space="0" w:color="043956" w:themeColor="accent2"/>
          <w:right w:val="single" w:sz="4" w:space="0" w:color="043956" w:themeColor="accent2"/>
          <w:insideH w:val="nil"/>
          <w:insideV w:val="nil"/>
        </w:tcBorders>
        <w:shd w:val="clear" w:color="auto" w:fill="043956" w:themeFill="accent2"/>
      </w:tcPr>
    </w:tblStylePr>
    <w:tblStylePr w:type="lastRow">
      <w:rPr>
        <w:b/>
        <w:bCs/>
      </w:rPr>
      <w:tblPr/>
      <w:tcPr>
        <w:tcBorders>
          <w:top w:val="double" w:sz="4" w:space="0" w:color="043956" w:themeColor="accent2"/>
        </w:tcBorders>
      </w:tcPr>
    </w:tblStylePr>
    <w:tblStylePr w:type="firstCol">
      <w:rPr>
        <w:b/>
        <w:bCs/>
      </w:rPr>
    </w:tblStylePr>
    <w:tblStylePr w:type="lastCol">
      <w:rPr>
        <w:b/>
        <w:bCs/>
      </w:rPr>
    </w:tblStylePr>
    <w:tblStylePr w:type="band1Vert">
      <w:tblPr/>
      <w:tcPr>
        <w:shd w:val="clear" w:color="auto" w:fill="AEDFFB" w:themeFill="accent2" w:themeFillTint="33"/>
      </w:tcPr>
    </w:tblStylePr>
    <w:tblStylePr w:type="band1Horz">
      <w:tblPr/>
      <w:tcPr>
        <w:shd w:val="clear" w:color="auto" w:fill="AEDFFB" w:themeFill="accent2" w:themeFillTint="33"/>
      </w:tcPr>
    </w:tblStylePr>
  </w:style>
  <w:style w:type="character" w:styleId="UnresolvedMention">
    <w:name w:val="Unresolved Mention"/>
    <w:basedOn w:val="DefaultParagraphFont"/>
    <w:uiPriority w:val="99"/>
    <w:semiHidden/>
    <w:unhideWhenUsed/>
    <w:rsid w:val="005F007D"/>
    <w:rPr>
      <w:color w:val="605E5C"/>
      <w:shd w:val="clear" w:color="auto" w:fill="E1DFDD"/>
    </w:rPr>
  </w:style>
  <w:style w:type="character" w:styleId="FollowedHyperlink">
    <w:name w:val="FollowedHyperlink"/>
    <w:basedOn w:val="DefaultParagraphFont"/>
    <w:uiPriority w:val="99"/>
    <w:semiHidden/>
    <w:unhideWhenUsed/>
    <w:rsid w:val="005F007D"/>
    <w:rPr>
      <w:color w:val="EB4748" w:themeColor="followedHyperlink"/>
      <w:u w:val="single"/>
    </w:rPr>
  </w:style>
  <w:style w:type="paragraph" w:styleId="TOC3">
    <w:name w:val="toc 3"/>
    <w:basedOn w:val="Normal"/>
    <w:next w:val="Normal"/>
    <w:autoRedefine/>
    <w:uiPriority w:val="39"/>
    <w:unhideWhenUsed/>
    <w:rsid w:val="00FF47F5"/>
    <w:pPr>
      <w:spacing w:after="100"/>
      <w:ind w:left="440"/>
    </w:pPr>
  </w:style>
  <w:style w:type="paragraph" w:customStyle="1" w:styleId="SubHeader">
    <w:name w:val="SubHeader"/>
    <w:basedOn w:val="Normal"/>
    <w:uiPriority w:val="99"/>
    <w:qFormat/>
    <w:rsid w:val="003A262B"/>
    <w:rPr>
      <w:rFonts w:asciiTheme="minorHAnsi" w:hAnsiTheme="minorHAnsi"/>
      <w:color w:val="000000" w:themeColor="accent1"/>
      <w:kern w:val="0"/>
      <w:sz w:val="32"/>
      <w:szCs w:val="3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EG - Group">
      <a:dk1>
        <a:sysClr val="windowText" lastClr="000000"/>
      </a:dk1>
      <a:lt1>
        <a:sysClr val="window" lastClr="FFFFFF"/>
      </a:lt1>
      <a:dk2>
        <a:srgbClr val="043956"/>
      </a:dk2>
      <a:lt2>
        <a:srgbClr val="E7E6E6"/>
      </a:lt2>
      <a:accent1>
        <a:srgbClr val="000000"/>
      </a:accent1>
      <a:accent2>
        <a:srgbClr val="043956"/>
      </a:accent2>
      <a:accent3>
        <a:srgbClr val="EB4748"/>
      </a:accent3>
      <a:accent4>
        <a:srgbClr val="043956"/>
      </a:accent4>
      <a:accent5>
        <a:srgbClr val="043956"/>
      </a:accent5>
      <a:accent6>
        <a:srgbClr val="EB4748"/>
      </a:accent6>
      <a:hlink>
        <a:srgbClr val="043956"/>
      </a:hlink>
      <a:folHlink>
        <a:srgbClr val="EB4748"/>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A3558-E4D6-4D9F-B473-2177D0452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1126</Words>
  <Characters>6757</Characters>
  <Application>Microsoft Office Word</Application>
  <DocSecurity>4</DocSecurity>
  <Lines>187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Solman Nouman</dc:creator>
  <cp:keywords/>
  <dc:description/>
  <cp:lastModifiedBy>Farzana Sultan</cp:lastModifiedBy>
  <cp:revision>2</cp:revision>
  <dcterms:created xsi:type="dcterms:W3CDTF">2025-11-03T11:13:00Z</dcterms:created>
  <dcterms:modified xsi:type="dcterms:W3CDTF">2025-11-03T11:13:00Z</dcterms:modified>
</cp:coreProperties>
</file>